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Message to Stacy Young: results, first authorship, and the Honor</w:t>
      </w:r>
    </w:p>
    <w:p>
      <w:pPr>
        <w:spacing w:after="140"/>
      </w:pPr>
      <w:r>
        <w:rPr>
          <w:i/>
        </w:rPr>
        <w:t xml:space="preserve">Her research is complete and the analysis found three positive results. Tell her all of it, tell her she is first author and why, name the journal, give her the Honor link, ask for the quote, and point her at the Chief FOIA Officers Council opening she found. Send from info@jrsstandard.com with the manuscript attached. No long dashes.</w:t>
      </w:r>
    </w:p>
    <w:p>
      <w:pPr>
        <w:spacing w:after="140"/>
      </w:pPr>
      <w:r>
        <w:rPr>
          <w:i/>
        </w:rPr>
        <w:t xml:space="preserve">Note for you, not for her: her honor link is https://jrsstandard.com/honor.html?k=q7m2vd9xk4 and it is the only one issued so far. It captures the printed name and title, the quote, the contact address and the transfer permission in one pass, with public listing left as a separate optional tick. The quote is the thing to actually chase; the article and any coverage both need it and neither of us can write it for her.</w:t>
      </w:r>
    </w:p>
    <w:p>
      <w:pPr>
        <w:pBdr>
          <w:bottom w:val="single" w:sz="6" w:space="1" w:color="AAAAAA"/>
        </w:pBdr>
      </w:pPr>
    </w:p>
    <w:p>
      <w:pPr>
        <w:spacing w:after="140"/>
      </w:pPr>
      <w:r>
        <w:t xml:space="preserve">Hi Stacyann,</w:t>
      </w:r>
    </w:p>
    <w:p>
      <w:pPr>
        <w:spacing w:after="140"/>
      </w:pPr>
      <w:r>
        <w:t xml:space="preserve">You did not lose count by much, and you are done. The database holds </w:t>
      </w:r>
      <w:r>
        <w:rPr>
          <w:b/>
        </w:rPr>
        <w:t xml:space="preserve">32 cases from 32 distinct public sources</w:t>
      </w:r>
      <w:r>
        <w:t xml:space="preserve">, collected between 26 June and 8 August, across four kinds of source and two states, covering decisions from 2005 through 2026. The target was 20 to 30 with a spread of outcomes. You cleared it.</w:t>
      </w:r>
    </w:p>
    <w:p>
      <w:pPr>
        <w:spacing w:after="140"/>
      </w:pPr>
      <w:r>
        <w:t xml:space="preserve">Then I ran the analysis, and it found more than I expected.</w:t>
      </w:r>
    </w:p>
    <w:p>
      <w:pPr>
        <w:spacing w:after="140"/>
      </w:pPr>
      <w:r>
        <w:rPr>
          <w:b/>
        </w:rPr>
        <w:t xml:space="preserve">Your reads agreed with independent government auditors in every case where both existed. Five out of five.</w:t>
      </w:r>
      <w:r>
        <w:t xml:space="preserve"> All five Comptroller audits came back Gap, and you recorded that read from the source before you looked at what the auditor concluded. In all five, the state or city Comptroller had separately written down that the agency could not evidence its own FOIL responses: tracking missing, records of what was sent missing, in one case an email claiming records had been provided without the records, and in two the auditor stating outright that they could not tell whether they had been given what they needed. Two instruments built with no knowledge of each other, landing in the same place every time.</w:t>
      </w:r>
    </w:p>
    <w:p>
      <w:pPr>
        <w:spacing w:after="140"/>
      </w:pPr>
      <w:r>
        <w:rPr>
          <w:b/>
        </w:rPr>
        <w:t xml:space="preserve">Your notes produced the second result, and it is the one that makes the paper work.</w:t>
      </w:r>
      <w:r>
        <w:t xml:space="preserve"> Because you wrote down why each read was what it was, before you knew the outcome, we can show what the reads were actually measuring. Six of your nine Needs work cases carry a note saying the underlying record-level basis could not be rebuilt from the source: the redacted contract and schedules were not reproduced, the 165,000 pages and their redaction universe were not available, the record-by-record exemption analysis was never before the court, the security assessment was reviewed in camera and never published. </w:t>
      </w:r>
      <w:r>
        <w:rPr>
          <w:b/>
        </w:rPr>
        <w:t xml:space="preserve">Zero of your eighteen Ready cases say anything like that.</w:t>
      </w:r>
      <w:r>
        <w:t xml:space="preserve"> Eleven of the eighteen say the opposite outright. Fisher's exact comes out at p = 0.00028.</w:t>
      </w:r>
    </w:p>
    <w:p>
      <w:pPr>
        <w:spacing w:after="140"/>
      </w:pPr>
      <w:r>
        <w:rPr>
          <w:b/>
        </w:rPr>
        <w:t xml:space="preserve">The third result confirms the second without using your words at all.</w:t>
      </w:r>
      <w:r>
        <w:t xml:space="preserve"> I went back through the sources by type. Advisory opinions, which quote the appeal determination itself, read Ready in six of seven. Court decisions, which summarise it, read Ready in twelve of eighteen. The two Connecticut decisions, both of which turned on records examined in camera, read Ready in neither. Group those by whether the source actually reproduces the determination or only describes it after reviewing the records privately, and it is six of seven against zero of seven, p = 0.00466. Gap reads land entirely on the programme-level audits, five of five, against none of the twenty-seven case-level sources, p = 0.0000050. Your reads were tracking how much of the basis a source exposes, which is exactly what the instrument is supposed to detect.</w:t>
      </w:r>
    </w:p>
    <w:p>
      <w:pPr>
        <w:spacing w:after="140"/>
      </w:pPr>
      <w:r>
        <w:t xml:space="preserve">There is a fourth check in the paper that came back null: whether the read predicts if an agency won on appeal. It does not, p = 1.000. That is the expected answer once you see the other three. Reconstructability and winning an appeal are different things, and cases reach publication because a legal question was live, not because the file was thin. It is one honest paragraph in the paper and it tells the next researcher which outcome variable to use, which is the audit finding, not the appeal.</w:t>
      </w:r>
    </w:p>
    <w:p>
      <w:pPr>
        <w:pStyle w:val="Heading2"/>
        <w:spacing w:after="140"/>
      </w:pPr>
      <w:r>
        <w:t xml:space="preserve">You are listed first</w:t>
      </w:r>
    </w:p>
    <w:p>
      <w:pPr>
        <w:spacing w:after="140"/>
      </w:pPr>
      <w:r>
        <w:t xml:space="preserve">Stacy Young and Phillip Wikes. Three reasons, and all three are on the page.</w:t>
      </w:r>
    </w:p>
    <w:p>
      <w:pPr>
        <w:spacing w:after="140"/>
      </w:pPr>
      <w:r>
        <w:t xml:space="preserve">You designed the case protocol and produced all 32 reads. You wrote a basis note for 28 of the 32 cases, which most people would have skipped, and those notes are what produce the strongest result in the study. And you brought the Chief FOIA Officers Council memorandum to my attention, which is what gave the paper its timing and its opening argument. The paper now leads on that memo: the Council is inventorying FOIA technology across federal agencies, an inventory answers what software agencies run, and ours answers whether the determinations coming out of it hold up. That framing is yours.</w:t>
      </w:r>
    </w:p>
    <w:p>
      <w:pPr>
        <w:pStyle w:val="Heading2"/>
        <w:spacing w:after="140"/>
      </w:pPr>
      <w:r>
        <w:t xml:space="preserve">Where it is going</w:t>
      </w:r>
    </w:p>
    <w:p>
      <w:pPr>
        <w:spacing w:after="140"/>
      </w:pPr>
      <w:r>
        <w:rPr>
          <w:b/>
        </w:rPr>
        <w:t xml:space="preserve">The Journal of Civic Information.</w:t>
      </w:r>
      <w:r>
        <w:t xml:space="preserve"> It publishes empirical research on FOIA, public records, transparency and government, which is precisely this paper's audience, and a completed study with convergent, construct and discriminant evidence plus a reusable protocol is the kind of work they run. The draft is attached, submission-ready. Nothing goes anywhere without your approval of the full text.</w:t>
      </w:r>
    </w:p>
    <w:p>
      <w:pPr>
        <w:spacing w:after="140"/>
      </w:pPr>
      <w:r>
        <w:t xml:space="preserve">There is a second route worth taking at the same time, and it comes straight out of the memo you found. Dr. Jeremy Frazier at Interior is building the government-wide inventory, and the Council is recruiting volunteers for its Technology Committee and its Committee on Cross-Agency Collaboration and Innovation through CFOCouncil@nara.gov. I have drafted a short submission to Dr. Frazier and a volunteer note for the Technology Committee, both in your name with mine second, and both are attached for your edit. You are a Deputy Records Access Officer with 32 coded cases behind you. That is a stronger thing to bring to that committee than most volunteers will have.</w:t>
      </w:r>
    </w:p>
    <w:p>
      <w:pPr>
        <w:pStyle w:val="Heading2"/>
        <w:spacing w:after="140"/>
      </w:pPr>
      <w:r>
        <w:t xml:space="preserve">One more thing</w:t>
      </w:r>
    </w:p>
    <w:p>
      <w:pPr>
        <w:spacing w:after="140"/>
      </w:pPr>
      <w:r>
        <w:t xml:space="preserve">You have been named the </w:t>
      </w:r>
      <w:r>
        <w:rPr>
          <w:b/>
        </w:rPr>
        <w:t xml:space="preserve">first honoree of the Global Governance and Transparency Honor, 2026</w:t>
      </w:r>
      <w:r>
        <w:t xml:space="preserve">. First person selected, and the citation names exactly what you did rather than saying something vague about service.</w:t>
      </w:r>
    </w:p>
    <w:p>
      <w:pPr>
        <w:spacing w:after="140"/>
      </w:pPr>
      <w:r>
        <w:t xml:space="preserve">Your link is below. It takes about a minute and it does three things at once: it confirms how your name and title should be printed on the certificate and in the article, it records your contact details, and it asks for one thing I genuinely cannot write for you.</w:t>
      </w:r>
    </w:p>
    <w:p>
      <w:pPr>
        <w:spacing w:after="140"/>
      </w:pPr>
      <w:r>
        <w:rPr>
          <w:b/>
        </w:rPr>
        <w:t xml:space="preserve">A quote.</w:t>
      </w:r>
      <w:r>
        <w:t xml:space="preserve"> A sentence or two, in your own words, on why a public-records determination should be able to explain itself. Something like the thing you already know from doing the job: that the file is what a reviewer reads, and if the reasoning is not in it, the reasoning is gone. Say it however you say it. It will appear in the article and in anything written about the work, attributed to you and unedited beyond punctuation, and only if you tick the box that says we may use it.</w:t>
      </w:r>
    </w:p>
    <w:p>
      <w:pPr>
        <w:spacing w:after="140"/>
      </w:pPr>
      <w:r>
        <w:t xml:space="preserve">https://jrsstandard.com/honor.html?k=q7m2vd9xk4</w:t>
      </w:r>
    </w:p>
    <w:p>
      <w:pPr>
        <w:spacing w:after="140"/>
      </w:pPr>
      <w:r>
        <w:t xml:space="preserve">That link is yours alone and is not guessable. Nothing on it is published without your say-so, and there is a separate optional box if you would like your name listed publicly as an honoree.</w:t>
      </w:r>
    </w:p>
    <w:p>
      <w:pPr>
        <w:spacing w:after="140"/>
      </w:pPr>
      <w:r>
        <w:t xml:space="preserve">When you have a moment, the thing I would most like from you is a read of Sections 4 and 5, the methods and results, to check that I have described your protocol the way you actually ran it, and particularly that Section 5.3 characterises your notes fairly.</w:t>
      </w:r>
    </w:p>
    <w:p>
      <w:pPr>
        <w:spacing w:after="140"/>
      </w:pPr>
      <w:r>
        <w:t xml:space="preserve">Please do pass my congratulations to your mom. Tell her the timing is good.</w:t>
      </w:r>
    </w:p>
    <w:p>
      <w:pPr>
        <w:spacing w:after="140"/>
      </w:pPr>
      <w:r>
        <w:t xml:space="preserve">Thank you for this. The paper is better than the one I thought we were going to get, and that is down to how you did the work.</w:t>
      </w:r>
    </w:p>
    <w:p>
      <w:pPr>
        <w:spacing w:after="140"/>
      </w:pPr>
      <w:r>
        <w:t xml:space="preserve">Best,</w:t>
      </w:r>
    </w:p>
    <w:p>
      <w:pPr>
        <w:spacing w:after="140"/>
      </w:pPr>
      <w:r>
        <w:t xml:space="preserve">Phillip Wikes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