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When a Defensible Decision Becomes an Indefensible File: A Practitioner Test of Documentation Integrity</w:t>
      </w:r>
    </w:p>
    <w:p>
      <w:pPr>
        <w:spacing w:after="140"/>
      </w:pPr>
      <w:r>
        <w:rPr>
          <w:b/>
        </w:rPr>
        <w:t xml:space="preserve">Tanvi Pokhriyal and Phillip Wikes</w:t>
      </w:r>
    </w:p>
    <w:p>
      <w:pPr>
        <w:pBdr>
          <w:bottom w:val="single" w:sz="6" w:space="1" w:color="AAAAAA"/>
        </w:pBdr>
      </w:pPr>
    </w:p>
    <w:p>
      <w:pPr>
        <w:spacing w:after="140"/>
      </w:pPr>
      <w:r>
        <w:t xml:space="preserve">An examiner reading a file does not have access to the decision-maker's memory. The record is what remains available for review. If it cannot show why a consequential decision was made, the decision may still have been correct, but the organization can no longer prove it.</w:t>
      </w:r>
    </w:p>
    <w:p>
      <w:pPr>
        <w:spacing w:after="140"/>
      </w:pPr>
      <w:r>
        <w:t xml:space="preserve">Generative AI can make that gap easier to create. A drafted narrative may read as finished even when the material that would substantiate it has not been preserved. </w:t>
      </w:r>
      <w:r>
        <w:rPr>
          <w:b/>
        </w:rPr>
        <w:t xml:space="preserve">That is a forward-looking concern, not a finding of this study.</w:t>
      </w:r>
      <w:r>
        <w:t xml:space="preserve"> The corpus was not selected for AI involvement, </w:t>
      </w:r>
      <w:r>
        <w:rPr>
          <w:b/>
        </w:rPr>
        <w:t xml:space="preserve">no case in it is shown to have been AI-drafted</w:t>
      </w:r>
      <w:r>
        <w:t xml:space="preserve">, and two of the three jurisdictional systems predate generative drafting. The question tested is whether the review distinguishes records that can independently support their conclusions from records that cannot, regardless of how the record was produced.</w:t>
      </w:r>
    </w:p>
    <w:p>
      <w:pPr>
        <w:spacing w:after="140"/>
      </w:pPr>
      <w:r>
        <w:t xml:space="preserve">We call the condition Decision Reconstruction Risk: the state a record is in when it cannot independently show why a consequential decision was reached.</w:t>
      </w:r>
    </w:p>
    <w:p>
      <w:pPr>
        <w:spacing w:after="140"/>
      </w:pPr>
      <w:r>
        <w:t xml:space="preserve">This article reports what happened when one of us applied a structured review to 22 adjudicated employment matters, recorded the classification before consulting how each matter resolved, and compared the two. The records are not AI-generated and are not claimed to be.</w:t>
      </w:r>
    </w:p>
    <w:p>
      <w:pPr>
        <w:pStyle w:val="Heading2"/>
        <w:spacing w:after="140"/>
      </w:pPr>
      <w:r>
        <w:t xml:space="preserve">The review</w:t>
      </w:r>
    </w:p>
    <w:p>
      <w:pPr>
        <w:spacing w:after="140"/>
      </w:pPr>
      <w:r>
        <w:t xml:space="preserve">The review asks one question: can a later, independent reviewer reconstruct how the conclusion was reached from the record alone?</w:t>
      </w:r>
    </w:p>
    <w:p>
      <w:pPr>
        <w:spacing w:after="140"/>
      </w:pPr>
      <w:r>
        <w:t xml:space="preserve">For this study, the five conditions were operationalized as set out in figure 1.</w:t>
      </w:r>
    </w:p>
    <w:p>
      <w:pPr>
        <w:spacing w:after="140"/>
      </w:pPr>
      <w:r>
        <w:rPr>
          <w:b/>
        </w:rPr>
        <w:t xml:space="preserve">Figure 1. Record-Level Documentation Review</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Review condition</w:t>
            </w:r>
          </w:p>
        </w:tc>
        <w:tc>
          <w:tcPr>
            <w:tcW w:w="3120" w:type="dxa"/>
          </w:tcPr>
          <w:p>
            <w:pPr>
              <w:spacing w:after="0"/>
            </w:pPr>
            <w:r>
              <w:t xml:space="preserve">Question</w:t>
            </w:r>
          </w:p>
        </w:tc>
        <w:tc>
          <w:tcPr>
            <w:tcW w:w="3120" w:type="dxa"/>
          </w:tcPr>
          <w:p>
            <w:pPr>
              <w:spacing w:after="0"/>
            </w:pPr>
            <w:r>
              <w:t xml:space="preserve">Failure signal</w:t>
            </w:r>
          </w:p>
        </w:tc>
      </w:tr>
      <w:tr>
        <w:tc>
          <w:tcPr>
            <w:tcW w:w="3120" w:type="dxa"/>
          </w:tcPr>
          <w:p>
            <w:pPr>
              <w:spacing w:after="0"/>
            </w:pPr>
            <w:r>
              <w:t xml:space="preserve">Reconstructability</w:t>
            </w:r>
          </w:p>
        </w:tc>
        <w:tc>
          <w:tcPr>
            <w:tcW w:w="3120" w:type="dxa"/>
          </w:tcPr>
          <w:p>
            <w:pPr>
              <w:spacing w:after="0"/>
            </w:pPr>
            <w:r>
              <w:t xml:space="preserve">Can the conclusion be reconstructed from the record alone?</w:t>
            </w:r>
          </w:p>
        </w:tc>
        <w:tc>
          <w:tcPr>
            <w:tcW w:w="3120" w:type="dxa"/>
          </w:tcPr>
          <w:p>
            <w:pPr>
              <w:spacing w:after="0"/>
            </w:pPr>
            <w:r>
              <w:t xml:space="preserve">Reasoning cannot be reconstructed</w:t>
            </w:r>
          </w:p>
        </w:tc>
      </w:tr>
      <w:tr>
        <w:tc>
          <w:tcPr>
            <w:tcW w:w="3120" w:type="dxa"/>
          </w:tcPr>
          <w:p>
            <w:pPr>
              <w:spacing w:after="0"/>
            </w:pPr>
            <w:r>
              <w:t xml:space="preserve">Basis identification</w:t>
            </w:r>
          </w:p>
        </w:tc>
        <w:tc>
          <w:tcPr>
            <w:tcW w:w="3120" w:type="dxa"/>
          </w:tcPr>
          <w:p>
            <w:pPr>
              <w:spacing w:after="0"/>
            </w:pPr>
            <w:r>
              <w:t xml:space="preserve">Can each material claim be sourced?</w:t>
            </w:r>
          </w:p>
        </w:tc>
        <w:tc>
          <w:tcPr>
            <w:tcW w:w="3120" w:type="dxa"/>
          </w:tcPr>
          <w:p>
            <w:pPr>
              <w:spacing w:after="0"/>
            </w:pPr>
            <w:r>
              <w:t xml:space="preserve">Unsupported characterization</w:t>
            </w:r>
          </w:p>
        </w:tc>
      </w:tr>
      <w:tr>
        <w:tc>
          <w:tcPr>
            <w:tcW w:w="3120" w:type="dxa"/>
          </w:tcPr>
          <w:p>
            <w:pPr>
              <w:spacing w:after="0"/>
            </w:pPr>
            <w:r>
              <w:t xml:space="preserve">Chronological integrity</w:t>
            </w:r>
          </w:p>
        </w:tc>
        <w:tc>
          <w:tcPr>
            <w:tcW w:w="3120" w:type="dxa"/>
          </w:tcPr>
          <w:p>
            <w:pPr>
              <w:spacing w:after="0"/>
            </w:pPr>
            <w:r>
              <w:t xml:space="preserve">Do dates and sequence reconcile?</w:t>
            </w:r>
          </w:p>
        </w:tc>
        <w:tc>
          <w:tcPr>
            <w:tcW w:w="3120" w:type="dxa"/>
          </w:tcPr>
          <w:p>
            <w:pPr>
              <w:spacing w:after="0"/>
            </w:pPr>
            <w:r>
              <w:t xml:space="preserve">Contradictory timeline</w:t>
            </w:r>
          </w:p>
        </w:tc>
      </w:tr>
      <w:tr>
        <w:tc>
          <w:tcPr>
            <w:tcW w:w="3120" w:type="dxa"/>
          </w:tcPr>
          <w:p>
            <w:pPr>
              <w:spacing w:after="0"/>
            </w:pPr>
            <w:r>
              <w:t xml:space="preserve">Decision-process traceability</w:t>
            </w:r>
          </w:p>
        </w:tc>
        <w:tc>
          <w:tcPr>
            <w:tcW w:w="3120" w:type="dxa"/>
          </w:tcPr>
          <w:p>
            <w:pPr>
              <w:spacing w:after="0"/>
            </w:pPr>
            <w:r>
              <w:t xml:space="preserve">Can reasoning and responsibility be followed?</w:t>
            </w:r>
          </w:p>
        </w:tc>
        <w:tc>
          <w:tcPr>
            <w:tcW w:w="3120" w:type="dxa"/>
          </w:tcPr>
          <w:p>
            <w:pPr>
              <w:spacing w:after="0"/>
            </w:pPr>
            <w:r>
              <w:t xml:space="preserve">Decision path unclear</w:t>
            </w:r>
          </w:p>
        </w:tc>
      </w:tr>
      <w:tr>
        <w:tc>
          <w:tcPr>
            <w:tcW w:w="3120" w:type="dxa"/>
          </w:tcPr>
          <w:p>
            <w:pPr>
              <w:spacing w:after="0"/>
            </w:pPr>
            <w:r>
              <w:t xml:space="preserve">Evidentiary sufficiency</w:t>
            </w:r>
          </w:p>
        </w:tc>
        <w:tc>
          <w:tcPr>
            <w:tcW w:w="3120" w:type="dxa"/>
          </w:tcPr>
          <w:p>
            <w:pPr>
              <w:spacing w:after="0"/>
            </w:pPr>
            <w:r>
              <w:t xml:space="preserve">Is there enough evidence for the decision?</w:t>
            </w:r>
          </w:p>
        </w:tc>
        <w:tc>
          <w:tcPr>
            <w:tcW w:w="3120" w:type="dxa"/>
          </w:tcPr>
          <w:p>
            <w:pPr>
              <w:spacing w:after="0"/>
            </w:pPr>
            <w:r>
              <w:t xml:space="preserve">Conclusion exceeds record</w:t>
            </w:r>
          </w:p>
        </w:tc>
      </w:tr>
    </w:tbl>
    <w:p>
      <w:pPr/>
      <w:r>
        <w:t/>
      </w:r>
    </w:p>
    <w:p>
      <w:pPr>
        <w:spacing w:after="140"/>
      </w:pPr>
      <w:r>
        <w:rPr>
          <w:b/>
        </w:rPr>
        <w:t xml:space="preserve">Ready:</w:t>
      </w:r>
      <w:r>
        <w:t xml:space="preserve"> all conditions met. </w:t>
      </w:r>
      <w:r>
        <w:rPr>
          <w:b/>
        </w:rPr>
        <w:t xml:space="preserve">Needs work:</w:t>
      </w:r>
      <w:r>
        <w:t xml:space="preserve"> a material condition unmet. </w:t>
      </w:r>
      <w:r>
        <w:rPr>
          <w:b/>
        </w:rPr>
        <w:t xml:space="preserve">Gap:</w:t>
      </w:r>
      <w:r>
        <w:t xml:space="preserve"> the basis is substantially absent.</w:t>
      </w:r>
    </w:p>
    <w:p>
      <w:pPr>
        <w:spacing w:after="140"/>
      </w:pPr>
      <w:r>
        <w:t xml:space="preserve">The determination is based on the defined conditions rather than an overall reviewer impression. Inter-rater reliability was not tested in this study.</w:t>
      </w:r>
    </w:p>
    <w:p>
      <w:pPr>
        <w:pStyle w:val="Heading2"/>
        <w:spacing w:after="140"/>
      </w:pPr>
      <w:r>
        <w:t xml:space="preserve">Applying the three reads</w:t>
      </w:r>
    </w:p>
    <w:p>
      <w:pPr>
        <w:spacing w:after="140"/>
      </w:pPr>
      <w:r>
        <w:t xml:space="preserve">A record reads </w:t>
      </w:r>
      <w:r>
        <w:rPr>
          <w:b/>
        </w:rPr>
        <w:t xml:space="preserve">Ready</w:t>
      </w:r>
      <w:r>
        <w:t xml:space="preserve"> when the reasoning survives being read by a stranger: the file sources each factual claim, shows dates that reconcile, names who decided what and on what basis, and carries enough underlying material for a reader to test the conclusion. Ready records here typically quoted the original documentation rather than summarizing it.</w:t>
      </w:r>
    </w:p>
    <w:p>
      <w:pPr>
        <w:spacing w:after="140"/>
      </w:pPr>
      <w:r>
        <w:t xml:space="preserve">A record reads </w:t>
      </w:r>
      <w:r>
        <w:rPr>
          <w:b/>
        </w:rPr>
        <w:t xml:space="preserve">Needs work</w:t>
      </w:r>
      <w:r>
        <w:t xml:space="preserve"> when part of the basis is visible and part is asserted. The narrative is coherent, but at least one material claim traces to nothing a reader can check. The commonest form here was a conclusion about performance or conduct stated confidently, with the underlying observations described only in the drafter's summary.</w:t>
      </w:r>
    </w:p>
    <w:p>
      <w:pPr>
        <w:spacing w:after="140"/>
      </w:pPr>
      <w:r>
        <w:t xml:space="preserve">A record reads </w:t>
      </w:r>
      <w:r>
        <w:rPr>
          <w:b/>
        </w:rPr>
        <w:t xml:space="preserve">Gap</w:t>
      </w:r>
      <w:r>
        <w:t xml:space="preserve"> when the basis is not in the file at all: the conclusion is present without the material that produced it. These are rarer and readily identified.</w:t>
      </w:r>
    </w:p>
    <w:p>
      <w:pPr>
        <w:spacing w:after="140"/>
      </w:pPr>
      <w:r>
        <w:t xml:space="preserve">For AI-assisted drafting, Needs work may be the more difficult failure mode to detect. A Gap record looks thin to anyone who opens it. A Needs work record can read well, follow the template and still contain material claims that cannot be independently checked, which can make it harder to detect during routine file-by-file review and more consequential when the record is later examined.</w:t>
      </w:r>
    </w:p>
    <w:p>
      <w:pPr>
        <w:pStyle w:val="Heading2"/>
        <w:spacing w:after="140"/>
      </w:pPr>
      <w:r>
        <w:t xml:space="preserve">What was tested</w:t>
      </w:r>
    </w:p>
    <w:p>
      <w:pPr>
        <w:spacing w:after="140"/>
      </w:pPr>
      <w:r>
        <w:t xml:space="preserve">Twenty-two adjudicated employment and labour matters, from 22 distinct public sources, across three jurisdictional systems.</w:t>
      </w:r>
      <w:r>
        <w:rPr>
          <w:vertAlign w:val="superscript"/>
        </w:rPr>
        <w:t xml:space="preserve">1</w:t>
      </w:r>
    </w:p>
    <w:p>
      <w:pPr>
        <w:spacing w:after="140"/>
      </w:pPr>
      <w:r>
        <w:t xml:space="preserve">For each matter a practicing employment specialist read the published decision in full and applied the five conditions to the employer's contemporaneous documentation as reproduced within it.</w:t>
      </w:r>
      <w:r>
        <w:rPr>
          <w:vertAlign w:val="superscript"/>
        </w:rPr>
        <w:t xml:space="preserve">2</w:t>
      </w:r>
      <w:r>
        <w:t xml:space="preserve"> The classification was recorded before the documented outcome was consulted. The outcome and supporting citation were then entered from the decision.</w:t>
      </w:r>
    </w:p>
    <w:p>
      <w:pPr>
        <w:spacing w:after="140"/>
      </w:pPr>
      <w:r>
        <w:rPr>
          <w:b/>
        </w:rPr>
        <w:t xml:space="preserve">That design carries a circularity objection, and it is the first thing a careful reader should raise.</w:t>
      </w:r>
      <w:r>
        <w:t xml:space="preserve"> The decision both narrates the outcome and characterizes the employer's evidence, so the reviewer worked from a source already containing the outcome being assessed. The database stores one timestamp per case rather than two, so the ordering rests on the protocol rather than a system record.</w:t>
      </w:r>
    </w:p>
    <w:p>
      <w:pPr>
        <w:spacing w:after="140"/>
      </w:pPr>
      <w:r>
        <w:rPr>
          <w:b/>
        </w:rPr>
        <w:t xml:space="preserve">The objection is not answered here and must not be treated as answered.</w:t>
      </w:r>
      <w:r>
        <w:t xml:space="preserve"> The association is consistent with a documentation deficiency an adjudicator also noticed, and equally consistent with reviewer influence from information in the decision. Separating those requires a design this study did not use: independent timestamping, a second blinded reader, or employer records obtained before adjudication.</w:t>
      </w:r>
    </w:p>
    <w:p>
      <w:pPr>
        <w:spacing w:after="140"/>
      </w:pPr>
      <w:r>
        <w:t xml:space="preserve">This is a single-practitioner field pilot: one qualified specialist, one caseload, applied inside an ordinary workload. The findings are reported at that level.</w:t>
      </w:r>
    </w:p>
    <w:p>
      <w:pPr>
        <w:spacing w:after="140"/>
      </w:pPr>
      <w:r>
        <w:t xml:space="preserve">The classifications were 13 Ready, 6 Needs work and 3 Gap. The documented outcomes were 7 sustained, 7 that did not survive review, 6 contested with no recorded disposition, and 2 adverse audit or compliance findings. The four categories are mutually exclusive and sum to 22.</w:t>
      </w:r>
    </w:p>
    <w:p>
      <w:pPr>
        <w:pStyle w:val="Heading2"/>
        <w:spacing w:after="140"/>
      </w:pPr>
      <w:r>
        <w:t xml:space="preserve">What was found</w:t>
      </w:r>
    </w:p>
    <w:p>
      <w:pPr>
        <w:spacing w:after="140"/>
      </w:pPr>
      <w:r>
        <w:t xml:space="preserve">Needs work and Gap are grouped, since both describe a record whose basis is incomplete. An adverse finding means a matter in which the employer's position did not survive review, or which drew an adverse audit or compliance finding.</w:t>
      </w:r>
      <w:r>
        <w:rPr>
          <w:vertAlign w:val="superscript"/>
        </w:rPr>
        <w:t xml:space="preserve">3</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Read</w:t>
            </w:r>
          </w:p>
        </w:tc>
        <w:tc>
          <w:tcPr>
            <w:tcW w:w="2340" w:type="dxa"/>
          </w:tcPr>
          <w:p>
            <w:pPr>
              <w:spacing w:after="0"/>
            </w:pPr>
            <w:r>
              <w:t xml:space="preserve">Adverse finding</w:t>
            </w:r>
          </w:p>
        </w:tc>
        <w:tc>
          <w:tcPr>
            <w:tcW w:w="2340" w:type="dxa"/>
          </w:tcPr>
          <w:p>
            <w:pPr>
              <w:spacing w:after="0"/>
            </w:pPr>
            <w:r>
              <w:t xml:space="preserve">No adverse finding</w:t>
            </w:r>
          </w:p>
        </w:tc>
        <w:tc>
          <w:tcPr>
            <w:tcW w:w="2340" w:type="dxa"/>
          </w:tcPr>
          <w:p>
            <w:pPr>
              <w:spacing w:after="0"/>
            </w:pPr>
            <w:r>
              <w:t xml:space="preserve">Adverse rate</w:t>
            </w:r>
          </w:p>
        </w:tc>
      </w:tr>
      <w:tr>
        <w:tc>
          <w:tcPr>
            <w:tcW w:w="2340" w:type="dxa"/>
          </w:tcPr>
          <w:p>
            <w:pPr>
              <w:spacing w:after="0"/>
            </w:pPr>
            <w:r>
              <w:t xml:space="preserve">Needs work or Gap (n = 9)</w:t>
            </w:r>
          </w:p>
        </w:tc>
        <w:tc>
          <w:tcPr>
            <w:tcW w:w="2340" w:type="dxa"/>
          </w:tcPr>
          <w:p>
            <w:pPr>
              <w:spacing w:after="0"/>
            </w:pPr>
            <w:r>
              <w:t xml:space="preserve">7</w:t>
            </w:r>
          </w:p>
        </w:tc>
        <w:tc>
          <w:tcPr>
            <w:tcW w:w="2340" w:type="dxa"/>
          </w:tcPr>
          <w:p>
            <w:pPr>
              <w:spacing w:after="0"/>
            </w:pPr>
            <w:r>
              <w:t xml:space="preserve">2</w:t>
            </w:r>
          </w:p>
        </w:tc>
        <w:tc>
          <w:tcPr>
            <w:tcW w:w="2340" w:type="dxa"/>
          </w:tcPr>
          <w:p>
            <w:pPr>
              <w:spacing w:after="0"/>
            </w:pPr>
            <w:r>
              <w:t xml:space="preserve">77.8%</w:t>
            </w:r>
          </w:p>
        </w:tc>
      </w:tr>
      <w:tr>
        <w:tc>
          <w:tcPr>
            <w:tcW w:w="2340" w:type="dxa"/>
          </w:tcPr>
          <w:p>
            <w:pPr>
              <w:spacing w:after="0"/>
            </w:pPr>
            <w:r>
              <w:t xml:space="preserve">Ready (n = 13)</w:t>
            </w:r>
          </w:p>
        </w:tc>
        <w:tc>
          <w:tcPr>
            <w:tcW w:w="2340" w:type="dxa"/>
          </w:tcPr>
          <w:p>
            <w:pPr>
              <w:spacing w:after="0"/>
            </w:pPr>
            <w:r>
              <w:t xml:space="preserve">2</w:t>
            </w:r>
          </w:p>
        </w:tc>
        <w:tc>
          <w:tcPr>
            <w:tcW w:w="2340" w:type="dxa"/>
          </w:tcPr>
          <w:p>
            <w:pPr>
              <w:spacing w:after="0"/>
            </w:pPr>
            <w:r>
              <w:t xml:space="preserve">11</w:t>
            </w:r>
          </w:p>
        </w:tc>
        <w:tc>
          <w:tcPr>
            <w:tcW w:w="2340" w:type="dxa"/>
          </w:tcPr>
          <w:p>
            <w:pPr>
              <w:spacing w:after="0"/>
            </w:pPr>
            <w:r>
              <w:t xml:space="preserve">15.4%</w:t>
            </w:r>
          </w:p>
        </w:tc>
      </w:tr>
    </w:tbl>
    <w:p>
      <w:pPr/>
      <w:r>
        <w:t/>
      </w:r>
    </w:p>
    <w:p>
      <w:pPr>
        <w:spacing w:after="140"/>
      </w:pPr>
      <w:r>
        <w:t xml:space="preserve">Fisher's exact test, two-sided: </w:t>
      </w:r>
      <w:r>
        <w:rPr>
          <w:b/>
        </w:rPr>
        <w:t xml:space="preserve">p = 0.0073</w:t>
      </w:r>
      <w:r>
        <w:t xml:space="preserve">.</w:t>
      </w:r>
      <w:r>
        <w:rPr>
          <w:vertAlign w:val="superscript"/>
        </w:rPr>
        <w:t xml:space="preserve">4</w:t>
      </w:r>
    </w:p>
    <w:p>
      <w:pPr>
        <w:spacing w:after="140"/>
      </w:pPr>
      <w:r>
        <w:t xml:space="preserve">Records classified as incomplete were associated with an adverse finding in 77.8 percent of cases, compared with 15.4 percent of records classified as Ready.</w:t>
      </w:r>
    </w:p>
    <w:p>
      <w:pPr>
        <w:spacing w:after="140"/>
      </w:pPr>
      <w:r>
        <w:t xml:space="preserve">The result depends on how an adverse outcome is defined, and no rule was fixed before the data closed. </w:t>
      </w:r>
      <w:r>
        <w:rPr>
          <w:b/>
        </w:rPr>
        <w:t xml:space="preserve">The classification was therefore defined retrospectively and should be treated as exploratory.</w:t>
      </w:r>
      <w:r>
        <w:t xml:space="preserve"> Restricting to the 16 matters with a resolved disposition and asking only whether the employer's position was sustained gives p = 0.041. Counting an unresolved contest as not sustained across all 22 gives p = 0.165, which is not significant.</w:t>
      </w:r>
    </w:p>
    <w:p>
      <w:pPr>
        <w:spacing w:after="140"/>
      </w:pPr>
      <w:r>
        <w:t xml:space="preserve">The direction of the association is unchanged across the three specifications, but the result depends materially on how unresolved matters are treated. The evidence supports treating the finding as a control signal rather than as evidence of predictive validity. How to treat a contested matter with no recorded disposition should be fixed in a protocol before the next set is read.</w:t>
      </w:r>
    </w:p>
    <w:p>
      <w:pPr>
        <w:spacing w:after="140"/>
      </w:pPr>
      <w:r>
        <w:t xml:space="preserve">One record read as Gap was sustained anyway. It is kept in the count rather than dropped.</w:t>
      </w:r>
    </w:p>
    <w:p>
      <w:pPr>
        <w:pStyle w:val="Heading2"/>
        <w:spacing w:after="140"/>
      </w:pPr>
      <w:r>
        <w:t xml:space="preserve">Why the same review found nothing in a different corpus</w:t>
      </w:r>
    </w:p>
    <w:p>
      <w:pPr>
        <w:spacing w:after="140"/>
      </w:pPr>
      <w:r>
        <w:t xml:space="preserve">The same review was applied by a different practitioner to 32 public-records determinations, where it did not track outcomes at all.</w:t>
      </w:r>
    </w:p>
    <w:p>
      <w:pPr>
        <w:spacing w:after="140"/>
      </w:pPr>
      <w:r>
        <w:t xml:space="preserve">Freedom-of-information determinations reach publication because a legal or access question was contested, so publication does not imply the underlying file was typical of the broader record population. Fifteen of the 20 resolved determinations there did not survive, a rate set by the publication process rather than by how those agencies documented. The employment corpus is not filtered that way.</w:t>
      </w:r>
    </w:p>
    <w:p>
      <w:pPr>
        <w:spacing w:after="140"/>
      </w:pPr>
      <w:r>
        <w:t xml:space="preserve">The Woolf test of homogeneity did not detect a statistically significant difference between the two associations, although the small samples limit what can be concluded from that result.</w:t>
      </w:r>
      <w:r>
        <w:rPr>
          <w:vertAlign w:val="superscript"/>
        </w:rPr>
        <w:t xml:space="preserve">5</w:t>
      </w:r>
      <w:r>
        <w:t xml:space="preserve"> The difference illustrates how publication and selection processes can influence an outcome-based test of a documentation control.</w:t>
      </w:r>
    </w:p>
    <w:p>
      <w:pPr>
        <w:pStyle w:val="Heading2"/>
        <w:spacing w:after="140"/>
      </w:pPr>
      <w:r>
        <w:t xml:space="preserve">What this looks like in an examination</w:t>
      </w:r>
    </w:p>
    <w:p>
      <w:pPr>
        <w:spacing w:after="140"/>
      </w:pPr>
      <w:r>
        <w:t xml:space="preserve">Internal audit, compliance and financial-crime functions may encounter the same underlying problem before litigation: whether the record supports the conclusion it presents. The review puts that question before the examiner arrives rather than after.</w:t>
      </w:r>
    </w:p>
    <w:p>
      <w:pPr>
        <w:spacing w:after="140"/>
      </w:pPr>
      <w:r>
        <w:t xml:space="preserve">Three failure patterns are relevant to AI-assisted drafting. </w:t>
      </w:r>
      <w:r>
        <w:rPr>
          <w:b/>
        </w:rPr>
        <w:t xml:space="preserve">They are general patterns in audit and investigations practice. They are not drawn from, and do not describe, any client engagement, examination, or the records of any organization.</w:t>
      </w:r>
    </w:p>
    <w:p>
      <w:pPr>
        <w:spacing w:after="140"/>
      </w:pPr>
      <w:r>
        <w:rPr>
          <w:b/>
        </w:rPr>
        <w:t xml:space="preserve">Narrative substitution.</w:t>
      </w:r>
      <w:r>
        <w:t xml:space="preserve"> A decision is challenged and the organization cannot produce underlying documentation beyond the drafted narrative. The source material that would have supported the conclusion was never attached because the narrative read as complete without it. In audit or dispute the absence of that material becomes the central issue, and a sound decision has to be defended without the evidence that made it sound.</w:t>
      </w:r>
    </w:p>
    <w:p>
      <w:pPr>
        <w:spacing w:after="140"/>
      </w:pPr>
      <w:r>
        <w:rPr>
          <w:b/>
        </w:rPr>
        <w:t xml:space="preserve">Patterned compliance.</w:t>
      </w:r>
      <w:r>
        <w:t xml:space="preserve"> A file uses the correct terminology and follows the template, while material claims rest primarily on drafted phrasing rather than documented observation. Examined individually each file looks compliant; examined across a population the same construction repeats. At population level this can indicate a broader control weakness requiring examination, since it suggests the control environment produced the appearance of documentation rather than the substance.</w:t>
      </w:r>
    </w:p>
    <w:p>
      <w:pPr>
        <w:spacing w:after="140"/>
      </w:pPr>
      <w:r>
        <w:rPr>
          <w:b/>
        </w:rPr>
        <w:t xml:space="preserve">No second-line review.</w:t>
      </w:r>
      <w:r>
        <w:t xml:space="preserve"> A record moves from a manager's draft into the system of record without independent review. Nothing shows that a second person tested the basis before it became official. Under examination the absence of a documented review step can weaken confidence in the wider process rather than in that single decision.</w:t>
      </w:r>
    </w:p>
    <w:p>
      <w:pPr>
        <w:spacing w:after="140"/>
      </w:pPr>
      <w:r>
        <w:t xml:space="preserve">In audit terms the review functions as a record-level control test with defined review criteria. A file that fails it is not necessarily a wrong decision, but it is an exposure that can be remediated inside the workflow rather than after the record is challenged. That makes documentation quality usable as a control.</w:t>
      </w:r>
    </w:p>
    <w:p>
      <w:pPr>
        <w:pStyle w:val="Heading2"/>
        <w:spacing w:after="140"/>
      </w:pPr>
      <w:r>
        <w:t xml:space="preserve">A control set that fits inside existing workflows</w:t>
      </w:r>
    </w:p>
    <w:p>
      <w:pPr>
        <w:spacing w:after="140"/>
      </w:pPr>
      <w:r>
        <w:t xml:space="preserve">Four controls, applied before a record enters the system of record:</w:t>
      </w:r>
    </w:p>
    <w:p>
      <w:pPr>
        <w:numPr>
          <w:ilvl w:val="0"/>
          <w:numId w:val="3"/>
        </w:numPr>
        <w:spacing w:after="60"/>
      </w:pPr>
      <w:r>
        <w:rPr>
          <w:b/>
        </w:rPr>
        <w:t xml:space="preserve">Anchor every material claim to independently verifiable source evidence.</w:t>
      </w:r>
      <w:r>
        <w:t xml:space="preserve"> A material claim is one that contributes directly to the stated basis for the decision. The evidence must exist independently of the draft, such as logs, communications and measurable data.</w:t>
      </w:r>
    </w:p>
    <w:p>
      <w:pPr>
        <w:numPr>
          <w:ilvl w:val="0"/>
          <w:numId w:val="3"/>
        </w:numPr>
        <w:spacing w:after="60"/>
      </w:pPr>
      <w:r>
        <w:rPr>
          <w:b/>
        </w:rPr>
        <w:t xml:space="preserve">Treat AI output as unverified draft material</w:t>
      </w:r>
      <w:r>
        <w:t xml:space="preserve"> until independently substantiated.</w:t>
      </w:r>
    </w:p>
    <w:p>
      <w:pPr>
        <w:numPr>
          <w:ilvl w:val="0"/>
          <w:numId w:val="3"/>
        </w:numPr>
        <w:spacing w:after="60"/>
      </w:pPr>
      <w:r>
        <w:rPr>
          <w:b/>
        </w:rPr>
        <w:t xml:space="preserve">Replace subjective characterization with observable evidence.</w:t>
      </w:r>
      <w:r>
        <w:t xml:space="preserve"> A subjective characterization states a conclusion in place of the observable fact behind it: "displayed a poor attitude" rather than "arrived after the shift start on 14, 19 and 27 March". Repeated subjective characterizations can warrant further review for potential bias or discrimination risk when a population of files is examined side by side.</w:t>
      </w:r>
    </w:p>
    <w:p>
      <w:pPr>
        <w:numPr>
          <w:ilvl w:val="0"/>
          <w:numId w:val="3"/>
        </w:numPr>
        <w:spacing w:after="60"/>
      </w:pPr>
      <w:r>
        <w:rPr>
          <w:b/>
        </w:rPr>
        <w:t xml:space="preserve">Keep drafting inside approved, auditable systems.</w:t>
      </w:r>
      <w:r>
        <w:t xml:space="preserve"> The governance concern is not AI use itself, but AI use that cannot be identified, reviewed or reconstructed.</w:t>
      </w:r>
    </w:p>
    <w:p>
      <w:pPr>
        <w:spacing w:after="140"/>
      </w:pPr>
      <w:r>
        <w:t xml:space="preserve">Three indicators can make the control measurable across a sample-and-remediation cycle: the percentage of claims supported by documented evidence, the rate of claims lacking documentation, and the frequency of subjective characterization across files and authors. These are operational indicators of documentation weakness that can help identify potential legal or compliance exposure.</w:t>
      </w:r>
    </w:p>
    <w:p>
      <w:pPr>
        <w:pStyle w:val="Heading2"/>
        <w:spacing w:after="140"/>
      </w:pPr>
      <w:r>
        <w:t xml:space="preserve">Running it as a control rather than a project</w:t>
      </w:r>
    </w:p>
    <w:p>
      <w:pPr>
        <w:spacing w:after="140"/>
      </w:pPr>
      <w:r>
        <w:t xml:space="preserve">Three practical questions come up whenever this is proposed as an ongoing control.</w:t>
      </w:r>
    </w:p>
    <w:p>
      <w:pPr>
        <w:spacing w:after="140"/>
      </w:pPr>
      <w:r>
        <w:rPr>
          <w:b/>
        </w:rPr>
        <w:t xml:space="preserve">Where does it sit in three lines of defense?</w:t>
      </w:r>
      <w:r>
        <w:t xml:space="preserve"> The review is most efficient when applied before a record is finalized, so its preventive value sits at the first line as a drafter self-check and at the second line as a sampling control by compliance or risk.</w:t>
      </w:r>
    </w:p>
    <w:p>
      <w:pPr>
        <w:spacing w:after="140"/>
      </w:pPr>
      <w:r>
        <w:t xml:space="preserve">That is not an argument that internal audit has no role. The third line can provide independent testing of the control environment. Applied to a population of closed files, the five conditions yield a measured rate of records that cannot carry their own reasoning, broken out by decision type and business unit. That is a finding about the control environment rather than any individual file. In practice, third-line testing is primarily diagnostic, while first and second-line application is primarily preventive. A population-level diagnosis can then inform where preventive controls should be strengthened.</w:t>
      </w:r>
    </w:p>
    <w:p>
      <w:pPr>
        <w:spacing w:after="140"/>
      </w:pPr>
      <w:r>
        <w:rPr>
          <w:b/>
        </w:rPr>
        <w:t xml:space="preserve">What sample size?</w:t>
      </w:r>
      <w:r>
        <w:t xml:space="preserve"> This study cannot establish a periodic control sample size. The 22 matters were the full study corpus rather than a statistically designed sample drawn against a stated tolerable error and confidence level. Build the sampling plan in the ordinary way, using whatever sampling standard the function already applies. The unit of analysis is the record. A periodic sample, sized to the relevant population and weighted toward consequential decisions, meaning decisions with material employment, financial, legal or compliance implications such as terminations, disciplinary outcomes and denials of accommodation, would generally be more informative than a larger unweighted sample. The aggregate view matters more than any individual file, because patterned compliance is visible only across a population.</w:t>
      </w:r>
    </w:p>
    <w:p>
      <w:pPr>
        <w:spacing w:after="140"/>
      </w:pPr>
      <w:r>
        <w:rPr>
          <w:b/>
        </w:rPr>
        <w:t xml:space="preserve">What triggers escalation?</w:t>
      </w:r>
      <w:r>
        <w:t xml:space="preserve"> A single Needs work classification can ordinarily trigger coaching or remediation. A rising rate, or a persistent concentration by author, business unit or decision type, can warrant treatment as a control finding. The second is the more important control signal, but it cannot be identified reliably unless the first is recorded consistently.</w:t>
      </w:r>
    </w:p>
    <w:p>
      <w:pPr>
        <w:spacing w:after="140"/>
      </w:pPr>
      <w:r>
        <w:rPr>
          <w:b/>
        </w:rPr>
        <w:t xml:space="preserve">One caution on adoption.</w:t>
      </w:r>
      <w:r>
        <w:t xml:space="preserve"> A review applied by the person who drafted the record carries less weight than one applied by somebody else. Where the review is used at the first line, treat it as a drafting discipline rather than as assurance, and keep the second-line sample independent of the drafters.</w:t>
      </w:r>
    </w:p>
    <w:p>
      <w:pPr>
        <w:pStyle w:val="Heading2"/>
        <w:spacing w:after="140"/>
      </w:pPr>
      <w:r>
        <w:t xml:space="preserve">What this establishes, and what it does not</w:t>
      </w:r>
    </w:p>
    <w:p>
      <w:pPr>
        <w:spacing w:after="140"/>
      </w:pPr>
      <w:r>
        <w:t xml:space="preserve">It demonstrates that an association of this size can be observed at practitioner scale, in adjudicated matters, using a review a working specialist can apply inside an ordinary workload. The result should therefore be interpreted as exploratory.</w:t>
      </w:r>
    </w:p>
    <w:p>
      <w:pPr>
        <w:spacing w:after="140"/>
      </w:pPr>
      <w:r>
        <w:t xml:space="preserve">It does not establish that the review improves outcomes, reduces litigation risk or increases decision quality, none of which was tested. Twenty-two cases from one practitioner's caseload, selected from published sources rather than sampled at random, is a field pilot. Published adjudications are not a random sample of employment records, since a matter reaches adjudication because something was contested.</w:t>
      </w:r>
    </w:p>
    <w:p>
      <w:pPr>
        <w:spacing w:after="140"/>
      </w:pPr>
      <w:r>
        <w:t xml:space="preserve">A larger study should broaden the corpus without regard to how matters resolved, put at least two reviewers on each case with the classification and outcome recorded separately, fix the treatment of unresolved contests in advance, and where feasible obtain the underlying record independently of the adjudicated decision.</w:t>
      </w:r>
    </w:p>
    <w:p>
      <w:pPr>
        <w:spacing w:after="140"/>
      </w:pPr>
      <w:r>
        <w:t xml:space="preserve">Generative AI changes how records may be produced, but it does not change the underlying examination question: can the record account for the decision it documents?</w:t>
      </w:r>
    </w:p>
    <w:p>
      <w:pPr>
        <w:pStyle w:val="Heading2"/>
        <w:spacing w:after="140"/>
      </w:pPr>
      <w:r>
        <w:t xml:space="preserve">Endnotes</w:t>
      </w:r>
    </w:p>
    <w:p>
      <w:pPr>
        <w:spacing w:after="140"/>
      </w:pPr>
      <w:r>
        <w:rPr>
          <w:b/>
        </w:rPr>
        <w:t xml:space="preserve">Corpus and sources</w:t>
      </w:r>
    </w:p>
    <w:p>
      <w:pPr>
        <w:spacing w:after="140"/>
      </w:pPr>
      <w:r>
        <w:rPr>
          <w:b/>
        </w:rPr>
        <w:t xml:space="preserve">1.</w:t>
      </w:r>
      <w:r>
        <w:t xml:space="preserve"> The corpus comprises 22 adjudicated matters from 22 distinct published decisions across three jurisdictional systems: United States Supreme Court, United States Federal Labor Relations Authority, and United Kingdom Employment Tribunal, collected between 22 June and 29 July 2026. </w:t>
      </w:r>
      <w:r>
        <w:rPr>
          <w:b/>
        </w:rPr>
        <w:t xml:space="preserve">[REQUIRED_ENV_PARAM: TWENTY_TWO_CASE_CITATIONS]</w:t>
      </w:r>
      <w:r>
        <w:t xml:space="preserve"> The full case list, giving decision name, jurisdiction and citation for each matter, must be appended here before submission. It is not held in the study repository. Counts, classifications and outcomes were verified against the study database on 21 August 2026.</w:t>
      </w:r>
    </w:p>
    <w:p>
      <w:pPr>
        <w:spacing w:after="140"/>
      </w:pPr>
      <w:r>
        <w:rPr>
          <w:b/>
        </w:rPr>
        <w:t xml:space="preserve">Protocol and classification</w:t>
      </w:r>
    </w:p>
    <w:p>
      <w:pPr>
        <w:spacing w:after="140"/>
      </w:pPr>
      <w:r>
        <w:rPr>
          <w:b/>
        </w:rPr>
        <w:t xml:space="preserve">2.</w:t>
      </w:r>
      <w:r>
        <w:t xml:space="preserve"> For each matter the reviewer read the published decision in full and worked from the portions describing the employer's contemporaneous documentation as reproduced or characterized within it. No employer record was obtained independently of the decision. The protocol required the classification to be recorded before the outcome was consulted. The database records one timestamp per case rather than separate review and outcome times, so the sequence rests on the protocol rather than on a system record.</w:t>
      </w:r>
    </w:p>
    <w:p>
      <w:pPr>
        <w:spacing w:after="140"/>
      </w:pPr>
      <w:r>
        <w:rPr>
          <w:b/>
        </w:rPr>
        <w:t xml:space="preserve">3.</w:t>
      </w:r>
      <w:r>
        <w:t xml:space="preserve"> An adverse finding was recorded where the employer's position did not survive review, or where the matter drew an adverse audit or compliance finding. The two adverse audit or compliance findings are a separate category that does not overlap the disposition counts, and the four categories sum to 22. </w:t>
      </w:r>
      <w:r>
        <w:rPr>
          <w:b/>
        </w:rPr>
        <w:t xml:space="preserve">This rule was applied retrospectively and was not fixed before the data closed, so the primary association should be treated as exploratory.</w:t>
      </w:r>
    </w:p>
    <w:p>
      <w:pPr>
        <w:spacing w:after="140"/>
      </w:pPr>
      <w:r>
        <w:rPr>
          <w:b/>
        </w:rPr>
        <w:t xml:space="preserve">Statistical methods</w:t>
      </w:r>
    </w:p>
    <w:p>
      <w:pPr>
        <w:spacing w:after="140"/>
      </w:pPr>
      <w:r>
        <w:rPr>
          <w:b/>
        </w:rPr>
        <w:t xml:space="preserve">4.</w:t>
      </w:r>
      <w:r>
        <w:t xml:space="preserve"> Association between the classification and an adverse finding was tested with Fisher's exact test, two-sided, on the 2 x 2 table shown: p = 0.0073, odds ratio 19.25. The observed proportions with an adverse finding were 77.8 percent for records classified Needs work or Gap (7 of 9, 95 percent Wilson score interval 45.3 to 93.7 percent) and 15.4 percent for records classified Ready (2 of 13, 95 percent Wilson score interval 4.3 to 42.2 percent). Wilson intervals are used for these proportions because the cell counts are small and the normal approximation is unreliable at this sample size.</w:t>
      </w:r>
    </w:p>
    <w:p>
      <w:pPr>
        <w:spacing w:after="140"/>
      </w:pPr>
      <w:r>
        <w:rPr>
          <w:b/>
        </w:rPr>
        <w:t xml:space="preserve">5.</w:t>
      </w:r>
      <w:r>
        <w:t xml:space="preserve"> Comparison with the public-records corpus used the Woolf test of homogeneity of odds ratios: Q = 2.550 on 1 degree of freedom, p = 0.110. The test does not establish equivalence; it fails to detect a difference at this sample size.</w:t>
      </w:r>
    </w:p>
    <w:p>
      <w:pPr>
        <w:spacing w:after="140"/>
      </w:pPr>
      <w:r>
        <w:rPr>
          <w:b/>
        </w:rPr>
        <w:t xml:space="preserve">Contributor methodology</w:t>
      </w:r>
    </w:p>
    <w:p>
      <w:pPr>
        <w:spacing w:after="140"/>
      </w:pPr>
      <w:r>
        <w:rPr>
          <w:b/>
        </w:rPr>
        <w:t xml:space="preserve">6.</w:t>
      </w:r>
      <w:r>
        <w:t xml:space="preserve"> Ubayet Hossain, FRM, provided methodological guidance on the reference-panel design, the chance-corrected agreement framework and the prespecified acceptance thresholds, in a personal professional capacity. His contribution does not represent the views of any employer.</w:t>
      </w:r>
    </w:p>
    <w:p>
      <w:pPr>
        <w:pBdr>
          <w:bottom w:val="single" w:sz="6" w:space="1" w:color="AAAAAA"/>
        </w:pBdr>
      </w:pPr>
    </w:p>
    <w:p>
      <w:pPr>
        <w:pStyle w:val="Heading2"/>
        <w:spacing w:after="140"/>
      </w:pPr>
      <w:r>
        <w:t xml:space="preserve">Acknowledgement</w:t>
      </w:r>
    </w:p>
    <w:p>
      <w:pPr>
        <w:spacing w:after="140"/>
      </w:pPr>
      <w:r>
        <w:t xml:space="preserve">The authors thank Kyle McMullan for comments on audit practice. His comments did not extend to the study, its data or its findings.</w:t>
      </w:r>
    </w:p>
    <w:p>
      <w:pPr>
        <w:pBdr>
          <w:bottom w:val="single" w:sz="6" w:space="1" w:color="AAAAAA"/>
        </w:pBdr>
      </w:pPr>
    </w:p>
    <w:p>
      <w:pPr>
        <w:spacing w:after="140"/>
      </w:pPr>
      <w:r>
        <w:rPr>
          <w:b/>
        </w:rPr>
        <w:t xml:space="preserve">Tanvi Pokhriyal</w:t>
      </w:r>
      <w:r>
        <w:t xml:space="preserve"> is an Organisational Psychologist working freelance, with over 15 years of experience in human resources and organizational development. Her professional interests include organizational behavior, employee relations and workplace decision-making. She designed the case protocol for this study and conducted every record review reported in it.</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previously served as a Lead Civil Rights Officer at the Maryland Commission on Civil Rights, where he evaluated discrimination complaints and reviewed consequential organizational records. He developed the Justification Review Standard and named Decision Reconstruction Risk.</w:t>
      </w:r>
    </w:p>
    <w:p>
      <w:pPr>
        <w:pBdr>
          <w:bottom w:val="single" w:sz="6" w:space="1" w:color="AAAAAA"/>
        </w:pBdr>
      </w:pPr>
    </w:p>
    <w:p>
      <w:pPr>
        <w:pStyle w:val="Heading2"/>
        <w:spacing w:after="140"/>
      </w:pPr>
      <w:r>
        <w:t xml:space="preserve">Declarations</w:t>
      </w:r>
    </w:p>
    <w:p>
      <w:pPr>
        <w:spacing w:after="140"/>
      </w:pPr>
      <w:r>
        <w:rPr>
          <w:b/>
        </w:rPr>
        <w:t xml:space="preserve">Financial interests.</w:t>
      </w:r>
      <w:r>
        <w:t xml:space="preserve"> Tanvi Pokhriyal declares that she has no financial or commercial interest, ownership, investment or other financial relationship that could influence or be perceived to influence the findings, interpretation or conclusions of this research. Phillip Wikes developed the review method described in this article and may benefit from its adoption. He did not participate in the case classifications or outcome recording.</w:t>
      </w:r>
    </w:p>
    <w:p>
      <w:pPr>
        <w:spacing w:after="140"/>
      </w:pPr>
      <w:r>
        <w:rPr>
          <w:b/>
        </w:rPr>
        <w:t xml:space="preserve">Research funding.</w:t>
      </w:r>
      <w:r>
        <w:t xml:space="preserve"> Tanvi Pokhriyal declares that this research was conducted without any external financial support or research funding, and that she has not received, directly or indirectly, any funding, sponsorship, grants or commercial financial assistance for the preparation of this paper. No external funding was received by any author.</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