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Conversion &amp; Friction Diagnostic Report</w:t>
      </w:r>
    </w:p>
    <w:p>
      <w:pPr>
        <w:spacing w:after="140"/>
      </w:pPr>
      <w:r>
        <w:rPr>
          <w:b/>
        </w:rPr>
        <w:t xml:space="preserve">Site:</w:t>
      </w:r>
      <w:r>
        <w:t xml:space="preserve"> jrsstandard.com</w:t>
      </w:r>
    </w:p>
    <w:p>
      <w:pPr>
        <w:spacing w:after="140"/>
      </w:pPr>
      <w:r>
        <w:rPr>
          <w:b/>
        </w:rPr>
        <w:t xml:space="preserve">Generated:</w:t>
      </w:r>
      <w:r>
        <w:t xml:space="preserve"> 2026-08-11 (supersedes the 2026-08-09 edition)</w:t>
      </w:r>
    </w:p>
    <w:p>
      <w:pPr>
        <w:spacing w:after="140"/>
      </w:pPr>
      <w:r>
        <w:rPr>
          <w:b/>
        </w:rPr>
        <w:t xml:space="preserve">Sources:</w:t>
      </w:r>
      <w:r>
        <w:t xml:space="preserve"> </w:t>
      </w:r>
      <w:r>
        <w:rPr>
          <w:rFonts w:ascii="Consolas" w:hAnsi="Consolas"/>
        </w:rPr>
        <w:t xml:space="preserve">interaction_events</w:t>
      </w:r>
      <w:r>
        <w:t xml:space="preserve"> (344 rows, 2026-07-10 to 2026-08-10), </w:t>
      </w:r>
      <w:r>
        <w:rPr>
          <w:rFonts w:ascii="Consolas" w:hAnsi="Consolas"/>
        </w:rPr>
        <w:t xml:space="preserve">/api/gate-stats</w:t>
      </w:r>
      <w:r>
        <w:t xml:space="preserve">, </w:t>
      </w:r>
      <w:r>
        <w:rPr>
          <w:rFonts w:ascii="Consolas" w:hAnsi="Consolas"/>
        </w:rPr>
        <w:t xml:space="preserve">/api/access-stats</w:t>
      </w:r>
      <w:r>
        <w:t xml:space="preserve">, </w:t>
      </w:r>
      <w:r>
        <w:rPr>
          <w:rFonts w:ascii="Consolas" w:hAnsi="Consolas"/>
        </w:rPr>
        <w:t xml:space="preserve">/api/contributor-stats</w:t>
      </w:r>
      <w:r>
        <w:t xml:space="preserve">, </w:t>
      </w:r>
      <w:r>
        <w:rPr>
          <w:rFonts w:ascii="Consolas" w:hAnsi="Consolas"/>
        </w:rPr>
        <w:t xml:space="preserve">/api/asset-stats</w:t>
      </w:r>
      <w:r>
        <w:t xml:space="preserve">, </w:t>
      </w:r>
      <w:r>
        <w:rPr>
          <w:rFonts w:ascii="Consolas" w:hAnsi="Consolas"/>
        </w:rPr>
        <w:t xml:space="preserve">/api/support-stats</w:t>
      </w:r>
      <w:r>
        <w:t xml:space="preserve">, </w:t>
      </w:r>
      <w:r>
        <w:rPr>
          <w:rFonts w:ascii="Consolas" w:hAnsi="Consolas"/>
        </w:rPr>
        <w:t xml:space="preserve">/api/enroll-stats</w:t>
      </w:r>
      <w:r>
        <w:t xml:space="preserve">, </w:t>
      </w:r>
      <w:r>
        <w:rPr>
          <w:rFonts w:ascii="Consolas" w:hAnsi="Consolas"/>
        </w:rPr>
        <w:t xml:space="preserve">/api/geo-stats</w:t>
      </w:r>
      <w:r>
        <w:t xml:space="preserve">, </w:t>
      </w:r>
      <w:r>
        <w:rPr>
          <w:rFonts w:ascii="Consolas" w:hAnsi="Consolas"/>
        </w:rPr>
        <w:t xml:space="preserve">/api/orgpilot-stats</w:t>
      </w:r>
    </w:p>
    <w:p>
      <w:pPr>
        <w:spacing w:after="140"/>
      </w:pPr>
      <w:r>
        <w:rPr>
          <w:b/>
        </w:rPr>
        <w:t xml:space="preserve">Window:</w:t>
      </w:r>
      <w:r>
        <w:t xml:space="preserve"> gate telemetry counts from </w:t>
      </w:r>
      <w:r>
        <w:rPr>
          <w:rFonts w:ascii="Consolas" w:hAnsi="Consolas"/>
        </w:rPr>
        <w:t xml:space="preserve">gate_start</w:t>
      </w:r>
      <w:r>
        <w:t xml:space="preserve"> 2026-08-02 forward. Everything before that date was anonymous and cannot be attributed.</w:t>
      </w:r>
    </w:p>
    <w:p>
      <w:pPr>
        <w:pBdr>
          <w:bottom w:val="single" w:sz="6" w:space="1" w:color="AAAAAA"/>
        </w:pBdr>
      </w:pPr>
    </w:p>
    <w:p>
      <w:pPr>
        <w:pStyle w:val="Heading2"/>
        <w:spacing w:after="140"/>
      </w:pPr>
      <w:r>
        <w:t xml:space="preserve">Headline</w:t>
      </w:r>
    </w:p>
    <w:p>
      <w:pPr>
        <w:spacing w:after="140"/>
      </w:pPr>
      <w:r>
        <w:t xml:space="preserve">The three instruments the last report asked for are now live and reporting. Two of the four questions in this brief can be answered with real numbers. Two cannot, and the reason is the finding: </w:t>
      </w:r>
      <w:r>
        <w:rPr>
          <w:b/>
        </w:rPr>
        <w:t xml:space="preserve">since field-level and device telemetry shipped on 2026-08-09, every single gate view has been a search-engine crawler. Not most. All six.</w:t>
      </w:r>
    </w:p>
    <w:p>
      <w:pPr>
        <w:spacing w:after="140"/>
      </w:pPr>
      <w:r>
        <w:t xml:space="preserve">That is not an instrumentation failure. The instruments fired correctly on every request they saw. There were no humans to see.</w:t>
      </w:r>
    </w:p>
    <w:p>
      <w:pPr>
        <w:pBdr>
          <w:bottom w:val="single" w:sz="6" w:space="1" w:color="AAAAAA"/>
        </w:pBdr>
      </w:pPr>
    </w:p>
    <w:p>
      <w:pPr>
        <w:pStyle w:val="Heading2"/>
        <w:spacing w:after="140"/>
      </w:pPr>
      <w:r>
        <w:t xml:space="preserve">1. Field Abandonment</w:t>
      </w:r>
    </w:p>
    <w:p>
      <w:pPr>
        <w:pStyle w:val="Heading3"/>
        <w:spacing w:after="140"/>
      </w:pPr>
      <w:r>
        <w:t xml:space="preserve">1.1 What the instrument has recorded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Value</w:t>
            </w:r>
          </w:p>
        </w:tc>
      </w:tr>
      <w:tr>
        <w:tc>
          <w:tcPr>
            <w:tcW w:w="4680" w:type="dxa"/>
          </w:tcPr>
          <w:p>
            <w:pPr>
              <w:spacing w:after="0"/>
            </w:pPr>
            <w:r>
              <w:rPr>
                <w:rFonts w:ascii="Consolas" w:hAnsi="Consolas"/>
              </w:rPr>
              <w:t xml:space="preserve">field_touched</w:t>
            </w:r>
            <w:r>
              <w:t xml:space="preserve"> events, all time</w:t>
            </w:r>
          </w:p>
        </w:tc>
        <w:tc>
          <w:tcPr>
            <w:tcW w:w="4680" w:type="dxa"/>
          </w:tcPr>
          <w:p>
            <w:pPr>
              <w:spacing w:after="0"/>
            </w:pPr>
            <w:r>
              <w:rPr>
                <w:b/>
              </w:rPr>
              <w:t xml:space="preserve">1</w:t>
            </w:r>
          </w:p>
        </w:tc>
      </w:tr>
      <w:tr>
        <w:tc>
          <w:tcPr>
            <w:tcW w:w="4680" w:type="dxa"/>
          </w:tcPr>
          <w:p>
            <w:pPr>
              <w:spacing w:after="0"/>
            </w:pPr>
            <w:r>
              <w:t xml:space="preserve">Gate views since the instrument shipped (2026-08-09 15:45 UTC)</w:t>
            </w:r>
          </w:p>
        </w:tc>
        <w:tc>
          <w:tcPr>
            <w:tcW w:w="4680" w:type="dxa"/>
          </w:tcPr>
          <w:p>
            <w:pPr>
              <w:spacing w:after="0"/>
            </w:pPr>
            <w:r>
              <w:rPr>
                <w:b/>
              </w:rPr>
              <w:t xml:space="preserve">6</w:t>
            </w:r>
          </w:p>
        </w:tc>
      </w:tr>
      <w:tr>
        <w:tc>
          <w:tcPr>
            <w:tcW w:w="4680" w:type="dxa"/>
          </w:tcPr>
          <w:p>
            <w:pPr>
              <w:spacing w:after="0"/>
            </w:pPr>
            <w:r>
              <w:t xml:space="preserve">Of those views, identified as crawlers by user agent</w:t>
            </w:r>
          </w:p>
        </w:tc>
        <w:tc>
          <w:tcPr>
            <w:tcW w:w="4680" w:type="dxa"/>
          </w:tcPr>
          <w:p>
            <w:pPr>
              <w:spacing w:after="0"/>
            </w:pPr>
            <w:r>
              <w:rPr>
                <w:b/>
              </w:rPr>
              <w:t xml:space="preserve">6 of 6</w:t>
            </w:r>
          </w:p>
        </w:tc>
      </w:tr>
      <w:tr>
        <w:tc>
          <w:tcPr>
            <w:tcW w:w="4680" w:type="dxa"/>
          </w:tcPr>
          <w:p>
            <w:pPr>
              <w:spacing w:after="0"/>
            </w:pPr>
            <w:r>
              <w:t xml:space="preserve">Human views in the instrumented window</w:t>
            </w:r>
          </w:p>
        </w:tc>
        <w:tc>
          <w:tcPr>
            <w:tcW w:w="4680" w:type="dxa"/>
          </w:tcPr>
          <w:p>
            <w:pPr>
              <w:spacing w:after="0"/>
            </w:pPr>
            <w:r>
              <w:rPr>
                <w:b/>
              </w:rPr>
              <w:t xml:space="preserve">0</w:t>
            </w:r>
          </w:p>
        </w:tc>
      </w:tr>
      <w:tr>
        <w:tc>
          <w:tcPr>
            <w:tcW w:w="4680" w:type="dxa"/>
          </w:tcPr>
          <w:p>
            <w:pPr>
              <w:spacing w:after="0"/>
            </w:pPr>
            <w:r>
              <w:t xml:space="preserve">Human field touches</w:t>
            </w:r>
          </w:p>
        </w:tc>
        <w:tc>
          <w:tcPr>
            <w:tcW w:w="4680" w:type="dxa"/>
          </w:tcPr>
          <w:p>
            <w:pPr>
              <w:spacing w:after="0"/>
            </w:pPr>
            <w:r>
              <w:rPr>
                <w:b/>
              </w:rPr>
              <w:t xml:space="preserve">0</w:t>
            </w:r>
          </w:p>
        </w:tc>
      </w:tr>
    </w:tbl>
    <w:p>
      <w:pPr/>
      <w:r>
        <w:t/>
      </w:r>
    </w:p>
    <w:p>
      <w:pPr>
        <w:spacing w:after="140"/>
      </w:pPr>
      <w:r>
        <w:t xml:space="preserve">The single event, in full: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rPr>
                <w:rFonts w:ascii="Consolas" w:hAnsi="Consolas"/>
              </w:rPr>
              <w:t xml:space="preserve">field_name</w:t>
            </w:r>
          </w:p>
        </w:tc>
        <w:tc>
          <w:tcPr>
            <w:tcW w:w="4680" w:type="dxa"/>
          </w:tcPr>
          <w:p>
            <w:pPr>
              <w:spacing w:after="0"/>
            </w:pPr>
            <w:r>
              <w:rPr>
                <w:rFonts w:ascii="Consolas" w:hAnsi="Consolas"/>
              </w:rPr>
              <w:t xml:space="preserve">f-name</w:t>
            </w:r>
          </w:p>
        </w:tc>
      </w:tr>
      <w:tr>
        <w:tc>
          <w:tcPr>
            <w:tcW w:w="4680" w:type="dxa"/>
          </w:tcPr>
          <w:p>
            <w:pPr>
              <w:spacing w:after="0"/>
            </w:pPr>
            <w:r>
              <w:rPr>
                <w:rFonts w:ascii="Consolas" w:hAnsi="Consolas"/>
              </w:rPr>
              <w:t xml:space="preserve">mode</w:t>
            </w:r>
          </w:p>
        </w:tc>
        <w:tc>
          <w:tcPr>
            <w:tcW w:w="4680" w:type="dxa"/>
          </w:tcPr>
          <w:p>
            <w:pPr>
              <w:spacing w:after="0"/>
            </w:pPr>
            <w:r>
              <w:t xml:space="preserve">guide</w:t>
            </w:r>
          </w:p>
        </w:tc>
      </w:tr>
      <w:tr>
        <w:tc>
          <w:tcPr>
            <w:tcW w:w="4680" w:type="dxa"/>
          </w:tcPr>
          <w:p>
            <w:pPr>
              <w:spacing w:after="0"/>
            </w:pPr>
            <w:r>
              <w:rPr>
                <w:rFonts w:ascii="Consolas" w:hAnsi="Consolas"/>
              </w:rPr>
              <w:t xml:space="preserve">src</w:t>
            </w:r>
          </w:p>
        </w:tc>
        <w:tc>
          <w:tcPr>
            <w:tcW w:w="4680" w:type="dxa"/>
          </w:tcPr>
          <w:p>
            <w:pPr>
              <w:spacing w:after="0"/>
            </w:pPr>
            <w:r>
              <w:t xml:space="preserve">site</w:t>
            </w:r>
          </w:p>
        </w:tc>
      </w:tr>
      <w:tr>
        <w:tc>
          <w:tcPr>
            <w:tcW w:w="4680" w:type="dxa"/>
          </w:tcPr>
          <w:p>
            <w:pPr>
              <w:spacing w:after="0"/>
            </w:pPr>
            <w:r>
              <w:rPr>
                <w:rFonts w:ascii="Consolas" w:hAnsi="Consolas"/>
              </w:rPr>
              <w:t xml:space="preserve">country</w:t>
            </w:r>
          </w:p>
        </w:tc>
        <w:tc>
          <w:tcPr>
            <w:tcW w:w="4680" w:type="dxa"/>
          </w:tcPr>
          <w:p>
            <w:pPr>
              <w:spacing w:after="0"/>
            </w:pPr>
            <w:r>
              <w:t xml:space="preserve">CN</w:t>
            </w:r>
          </w:p>
        </w:tc>
      </w:tr>
      <w:tr>
        <w:tc>
          <w:tcPr>
            <w:tcW w:w="4680" w:type="dxa"/>
          </w:tcPr>
          <w:p>
            <w:pPr>
              <w:spacing w:after="0"/>
            </w:pPr>
            <w:r>
              <w:rPr>
                <w:rFonts w:ascii="Consolas" w:hAnsi="Consolas"/>
              </w:rPr>
              <w:t xml:space="preserve">is_mobile</w:t>
            </w:r>
          </w:p>
        </w:tc>
        <w:tc>
          <w:tcPr>
            <w:tcW w:w="4680" w:type="dxa"/>
          </w:tcPr>
          <w:p>
            <w:pPr>
              <w:spacing w:after="0"/>
            </w:pPr>
            <w:r>
              <w:t xml:space="preserve">false</w:t>
            </w:r>
          </w:p>
        </w:tc>
      </w:tr>
      <w:tr>
        <w:tc>
          <w:tcPr>
            <w:tcW w:w="4680" w:type="dxa"/>
          </w:tcPr>
          <w:p>
            <w:pPr>
              <w:spacing w:after="0"/>
            </w:pPr>
            <w:r>
              <w:rPr>
                <w:rFonts w:ascii="Consolas" w:hAnsi="Consolas"/>
              </w:rPr>
              <w:t xml:space="preserve">user_agent</w:t>
            </w:r>
          </w:p>
        </w:tc>
        <w:tc>
          <w:tcPr>
            <w:tcW w:w="4680" w:type="dxa"/>
          </w:tcPr>
          <w:p>
            <w:pPr>
              <w:spacing w:after="0"/>
            </w:pPr>
            <w:r>
              <w:rPr>
                <w:rFonts w:ascii="Consolas" w:hAnsi="Consolas"/>
              </w:rPr>
              <w:t xml:space="preserve">Mozilla/5.0 (compatible; Baiduspider-render/2.0; +http://www.baidu.com/search/spider.html)</w:t>
            </w:r>
          </w:p>
        </w:tc>
      </w:tr>
      <w:tr>
        <w:tc>
          <w:tcPr>
            <w:tcW w:w="4680" w:type="dxa"/>
          </w:tcPr>
          <w:p>
            <w:pPr>
              <w:spacing w:after="0"/>
            </w:pPr>
            <w:r>
              <w:t xml:space="preserve">Timestamp</w:t>
            </w:r>
          </w:p>
        </w:tc>
        <w:tc>
          <w:tcPr>
            <w:tcW w:w="4680" w:type="dxa"/>
          </w:tcPr>
          <w:p>
            <w:pPr>
              <w:spacing w:after="0"/>
            </w:pPr>
            <w:r>
              <w:t xml:space="preserve">2026-08-10T07:55:22Z, one second after the same crawler's page view</w:t>
            </w:r>
          </w:p>
        </w:tc>
      </w:tr>
    </w:tbl>
    <w:p>
      <w:pPr/>
      <w:r>
        <w:t/>
      </w:r>
    </w:p>
    <w:p>
      <w:pPr>
        <w:spacing w:after="140"/>
      </w:pPr>
      <w:r>
        <w:t xml:space="preserve">Baidu's renderer executes page JavaScript, focuses the first input while laying out the form, and fires the ping. It is a real event from the instrument's point of view and a null from the business point of view.</w:t>
      </w:r>
    </w:p>
    <w:p>
      <w:pPr>
        <w:pStyle w:val="Heading3"/>
        <w:spacing w:after="140"/>
      </w:pPr>
      <w:r>
        <w:t xml:space="preserve">1.2 The breakdown you asked for, and why it is empty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Field</w:t>
            </w:r>
          </w:p>
        </w:tc>
        <w:tc>
          <w:tcPr>
            <w:tcW w:w="2340" w:type="dxa"/>
          </w:tcPr>
          <w:p>
            <w:pPr>
              <w:spacing w:after="0"/>
            </w:pPr>
            <w:r>
              <w:t xml:space="preserve">Position</w:t>
            </w:r>
          </w:p>
        </w:tc>
        <w:tc>
          <w:tcPr>
            <w:tcW w:w="2340" w:type="dxa"/>
          </w:tcPr>
          <w:p>
            <w:pPr>
              <w:spacing w:after="0"/>
            </w:pPr>
            <w:r>
              <w:t xml:space="preserve">Touches</w:t>
            </w:r>
          </w:p>
        </w:tc>
        <w:tc>
          <w:tcPr>
            <w:tcW w:w="2340" w:type="dxa"/>
          </w:tcPr>
          <w:p>
            <w:pPr>
              <w:spacing w:after="0"/>
            </w:pPr>
            <w:r>
              <w:t xml:space="preserve">Share</w:t>
            </w:r>
          </w:p>
        </w:tc>
      </w:tr>
      <w:tr>
        <w:tc>
          <w:tcPr>
            <w:tcW w:w="2340" w:type="dxa"/>
          </w:tcPr>
          <w:p>
            <w:pPr>
              <w:spacing w:after="0"/>
            </w:pPr>
            <w:r>
              <w:rPr>
                <w:rFonts w:ascii="Consolas" w:hAnsi="Consolas"/>
              </w:rPr>
              <w:t xml:space="preserve">f-name</w:t>
            </w:r>
          </w:p>
        </w:tc>
        <w:tc>
          <w:tcPr>
            <w:tcW w:w="2340" w:type="dxa"/>
          </w:tcPr>
          <w:p>
            <w:pPr>
              <w:spacing w:after="0"/>
            </w:pPr>
            <w:r>
              <w:t xml:space="preserve">1</w:t>
            </w:r>
          </w:p>
        </w:tc>
        <w:tc>
          <w:tcPr>
            <w:tcW w:w="2340" w:type="dxa"/>
          </w:tcPr>
          <w:p>
            <w:pPr>
              <w:spacing w:after="0"/>
            </w:pPr>
            <w:r>
              <w:t xml:space="preserve">1 (crawler)</w:t>
            </w:r>
          </w:p>
        </w:tc>
        <w:tc>
          <w:tcPr>
            <w:tcW w:w="2340" w:type="dxa"/>
          </w:tcPr>
          <w:p>
            <w:pPr>
              <w:spacing w:after="0"/>
            </w:pPr>
            <w:r>
              <w:t xml:space="preserve">n/a</w:t>
            </w:r>
          </w:p>
        </w:tc>
      </w:tr>
      <w:tr>
        <w:tc>
          <w:tcPr>
            <w:tcW w:w="2340" w:type="dxa"/>
          </w:tcPr>
          <w:p>
            <w:pPr>
              <w:spacing w:after="0"/>
            </w:pPr>
            <w:r>
              <w:rPr>
                <w:rFonts w:ascii="Consolas" w:hAnsi="Consolas"/>
              </w:rPr>
              <w:t xml:space="preserve">f-email</w:t>
            </w:r>
          </w:p>
        </w:tc>
        <w:tc>
          <w:tcPr>
            <w:tcW w:w="2340" w:type="dxa"/>
          </w:tcPr>
          <w:p>
            <w:pPr>
              <w:spacing w:after="0"/>
            </w:pPr>
            <w:r>
              <w:t xml:space="preserve">2</w:t>
            </w:r>
          </w:p>
        </w:tc>
        <w:tc>
          <w:tcPr>
            <w:tcW w:w="2340" w:type="dxa"/>
          </w:tcPr>
          <w:p>
            <w:pPr>
              <w:spacing w:after="0"/>
            </w:pPr>
            <w:r>
              <w:t xml:space="preserve">0</w:t>
            </w:r>
          </w:p>
        </w:tc>
        <w:tc>
          <w:tcPr>
            <w:tcW w:w="2340" w:type="dxa"/>
          </w:tcPr>
          <w:p>
            <w:pPr>
              <w:spacing w:after="0"/>
            </w:pPr>
            <w:r>
              <w:t xml:space="preserve">n/a</w:t>
            </w:r>
          </w:p>
        </w:tc>
      </w:tr>
      <w:tr>
        <w:tc>
          <w:tcPr>
            <w:tcW w:w="2340" w:type="dxa"/>
          </w:tcPr>
          <w:p>
            <w:pPr>
              <w:spacing w:after="0"/>
            </w:pPr>
            <w:r>
              <w:rPr>
                <w:rFonts w:ascii="Consolas" w:hAnsi="Consolas"/>
              </w:rPr>
              <w:t xml:space="preserve">f-org</w:t>
            </w:r>
            <w:r>
              <w:t xml:space="preserve"> (optional)</w:t>
            </w:r>
          </w:p>
        </w:tc>
        <w:tc>
          <w:tcPr>
            <w:tcW w:w="2340" w:type="dxa"/>
          </w:tcPr>
          <w:p>
            <w:pPr>
              <w:spacing w:after="0"/>
            </w:pPr>
            <w:r>
              <w:t xml:space="preserve">3</w:t>
            </w:r>
          </w:p>
        </w:tc>
        <w:tc>
          <w:tcPr>
            <w:tcW w:w="2340" w:type="dxa"/>
          </w:tcPr>
          <w:p>
            <w:pPr>
              <w:spacing w:after="0"/>
            </w:pPr>
            <w:r>
              <w:t xml:space="preserve">0</w:t>
            </w:r>
          </w:p>
        </w:tc>
        <w:tc>
          <w:tcPr>
            <w:tcW w:w="2340" w:type="dxa"/>
          </w:tcPr>
          <w:p>
            <w:pPr>
              <w:spacing w:after="0"/>
            </w:pPr>
            <w:r>
              <w:t xml:space="preserve">n/a</w:t>
            </w:r>
          </w:p>
        </w:tc>
      </w:tr>
      <w:tr>
        <w:tc>
          <w:tcPr>
            <w:tcW w:w="2340" w:type="dxa"/>
          </w:tcPr>
          <w:p>
            <w:pPr>
              <w:spacing w:after="0"/>
            </w:pPr>
            <w:r>
              <w:rPr>
                <w:rFonts w:ascii="Consolas" w:hAnsi="Consolas"/>
              </w:rPr>
              <w:t xml:space="preserve">c-contact</w:t>
            </w:r>
            <w:r>
              <w:t xml:space="preserve"> (required consent)</w:t>
            </w:r>
          </w:p>
        </w:tc>
        <w:tc>
          <w:tcPr>
            <w:tcW w:w="2340" w:type="dxa"/>
          </w:tcPr>
          <w:p>
            <w:pPr>
              <w:spacing w:after="0"/>
            </w:pPr>
            <w:r>
              <w:t xml:space="preserve">4</w:t>
            </w:r>
          </w:p>
        </w:tc>
        <w:tc>
          <w:tcPr>
            <w:tcW w:w="2340" w:type="dxa"/>
          </w:tcPr>
          <w:p>
            <w:pPr>
              <w:spacing w:after="0"/>
            </w:pPr>
            <w:r>
              <w:t xml:space="preserve">0</w:t>
            </w:r>
          </w:p>
        </w:tc>
        <w:tc>
          <w:tcPr>
            <w:tcW w:w="2340" w:type="dxa"/>
          </w:tcPr>
          <w:p>
            <w:pPr>
              <w:spacing w:after="0"/>
            </w:pPr>
            <w:r>
              <w:t xml:space="preserve">n/a</w:t>
            </w:r>
          </w:p>
        </w:tc>
      </w:tr>
      <w:tr>
        <w:tc>
          <w:tcPr>
            <w:tcW w:w="2340" w:type="dxa"/>
          </w:tcPr>
          <w:p>
            <w:pPr>
              <w:spacing w:after="0"/>
            </w:pPr>
            <w:r>
              <w:rPr>
                <w:rFonts w:ascii="Consolas" w:hAnsi="Consolas"/>
              </w:rPr>
              <w:t xml:space="preserve">c-registry</w:t>
            </w:r>
            <w:r>
              <w:t xml:space="preserve"> (Registry consent)</w:t>
            </w:r>
          </w:p>
        </w:tc>
        <w:tc>
          <w:tcPr>
            <w:tcW w:w="2340" w:type="dxa"/>
          </w:tcPr>
          <w:p>
            <w:pPr>
              <w:spacing w:after="0"/>
            </w:pPr>
            <w:r>
              <w:t xml:space="preserve">5</w:t>
            </w:r>
          </w:p>
        </w:tc>
        <w:tc>
          <w:tcPr>
            <w:tcW w:w="2340" w:type="dxa"/>
          </w:tcPr>
          <w:p>
            <w:pPr>
              <w:spacing w:after="0"/>
            </w:pPr>
            <w:r>
              <w:t xml:space="preserve">0</w:t>
            </w:r>
          </w:p>
        </w:tc>
        <w:tc>
          <w:tcPr>
            <w:tcW w:w="2340" w:type="dxa"/>
          </w:tcPr>
          <w:p>
            <w:pPr>
              <w:spacing w:after="0"/>
            </w:pPr>
            <w:r>
              <w:t xml:space="preserve">n/a</w:t>
            </w:r>
          </w:p>
        </w:tc>
      </w:tr>
    </w:tbl>
    <w:p>
      <w:pPr/>
      <w:r>
        <w:t/>
      </w:r>
    </w:p>
    <w:p>
      <w:pPr>
        <w:spacing w:after="140"/>
      </w:pPr>
      <w:r>
        <w:rPr>
          <w:b/>
        </w:rPr>
        <w:t xml:space="preserve">Zero human observations.</w:t>
      </w:r>
      <w:r>
        <w:t xml:space="preserve"> No share column can be computed and none should be estimated.</w:t>
      </w:r>
    </w:p>
    <w:p>
      <w:pPr>
        <w:pStyle w:val="Heading3"/>
        <w:spacing w:after="140"/>
      </w:pPr>
      <w:r>
        <w:t xml:space="preserve">1.3 A limitation worth stating before the data arrives</w:t>
      </w:r>
    </w:p>
    <w:p>
      <w:pPr>
        <w:spacing w:after="140"/>
      </w:pPr>
      <w:r>
        <w:t xml:space="preserve">The brief asks which field a user reaches </w:t>
      </w:r>
      <w:r>
        <w:rPr>
          <w:b/>
        </w:rPr>
        <w:t xml:space="preserve">before dropping off</w:t>
      </w:r>
      <w:r>
        <w:t xml:space="preserve">. The instrument as built cannot answer that, and will not be able to when traffic returns.</w:t>
      </w:r>
    </w:p>
    <w:p>
      <w:pPr>
        <w:spacing w:after="140"/>
      </w:pPr>
      <w:r>
        <w:rPr>
          <w:rFonts w:ascii="Consolas" w:hAnsi="Consolas"/>
        </w:rPr>
        <w:t xml:space="preserve">field_touched</w:t>
      </w:r>
      <w:r>
        <w:t xml:space="preserve"> fires </w:t>
      </w:r>
      <w:r>
        <w:rPr>
          <w:b/>
        </w:rPr>
        <w:t xml:space="preserve">once per page session, on the first field touched</w:t>
      </w:r>
      <w:r>
        <w:t xml:space="preserve">, and then sets a </w:t>
      </w:r>
      <w:r>
        <w:rPr>
          <w:rFonts w:ascii="Consolas" w:hAnsi="Consolas"/>
        </w:rPr>
        <w:t xml:space="preserve">sessionStorage</w:t>
      </w:r>
      <w:r>
        <w:t xml:space="preserve"> flag that suppresses every later touch. It therefore records an </w:t>
      </w:r>
      <w:r>
        <w:rPr>
          <w:b/>
        </w:rPr>
        <w:t xml:space="preserve">entry point</w:t>
      </w:r>
      <w:r>
        <w:t xml:space="preserve">, not a </w:t>
      </w:r>
      <w:r>
        <w:rPr>
          <w:b/>
        </w:rPr>
        <w:t xml:space="preserve">depth</w:t>
      </w:r>
      <w:r>
        <w:t xml:space="preserve">. A reader who fills name, email and organization and then abandons at the consent checkbox is recorded under </w:t>
      </w:r>
      <w:r>
        <w:rPr>
          <w:rFonts w:ascii="Consolas" w:hAnsi="Consolas"/>
        </w:rPr>
        <w:t xml:space="preserve">f-name</w:t>
      </w:r>
      <w:r>
        <w:t xml:space="preserve">, identical to a reader who focused the name field and immediately left.</w:t>
      </w:r>
    </w:p>
    <w:p>
      <w:pPr>
        <w:spacing w:after="140"/>
      </w:pPr>
      <w:r>
        <w:t xml:space="preserve">That was a deliberate trade at build time: one ping per session instead of one per field keeps the write volume low and keeps the log from becoming a keystroke-level record of a form nobody submitted. It is the right privacy posture. It is also the wrong shape for the question being asked here.</w:t>
      </w:r>
    </w:p>
    <w:p>
      <w:pPr>
        <w:spacing w:after="140"/>
      </w:pPr>
      <w:r>
        <w:rPr>
          <w:b/>
        </w:rPr>
        <w:t xml:space="preserve">To answer the question as posed, the instrument needs a second ping: a last-field-touched event, or a `navigator.sendBeacon` on `visibilitychange` carrying the deepest field index reached.</w:t>
      </w:r>
      <w:r>
        <w:t xml:space="preserve"> That is a small change, roughly fifteen lines, but it is a change and it has not been made. It should not be made now: shipping a second instrument into a window with zero human traffic will produce a second empty table. Ship it when there is traffic to measure, and prove the traffic first.</w:t>
      </w:r>
    </w:p>
    <w:p>
      <w:pPr>
        <w:pStyle w:val="Heading3"/>
        <w:spacing w:after="140"/>
      </w:pPr>
      <w:r>
        <w:t xml:space="preserve">1.4 What the last report attributed to friction</w:t>
      </w:r>
    </w:p>
    <w:p>
      <w:pPr>
        <w:spacing w:after="140"/>
      </w:pPr>
      <w:r>
        <w:t xml:space="preserve">The 2026-08-09 edition flagged 18 guide-route views with 0 completions as the one cleanly isolated friction point. That figure now stands at </w:t>
      </w:r>
      <w:r>
        <w:rPr>
          <w:b/>
        </w:rPr>
        <w:t xml:space="preserve">20 views, 0 completions</w:t>
      </w:r>
      <w:r>
        <w:t xml:space="preserve">. The two additional views are both crawlers. The reading in the previous report, that the guide gate was the friction, is </w:t>
      </w:r>
      <w:r>
        <w:rPr>
          <w:b/>
        </w:rPr>
        <w:t xml:space="preserve">no longer supported and is not disproven</w:t>
      </w:r>
      <w:r>
        <w:t xml:space="preserve">. It is untested. The guide route has had no observed human traffic since the fix shipped.</w:t>
      </w:r>
    </w:p>
    <w:p>
      <w:pPr>
        <w:pBdr>
          <w:bottom w:val="single" w:sz="6" w:space="1" w:color="AAAAAA"/>
        </w:pBdr>
      </w:pPr>
    </w:p>
    <w:p>
      <w:pPr>
        <w:pStyle w:val="Heading2"/>
        <w:spacing w:after="140"/>
      </w:pPr>
      <w:r>
        <w:t xml:space="preserve">2. Device Breakdown</w:t>
      </w:r>
    </w:p>
    <w:p>
      <w:pPr>
        <w:pStyle w:val="Heading3"/>
        <w:spacing w:after="140"/>
      </w:pPr>
      <w:r>
        <w:t xml:space="preserve">2.1 Coverage</w:t>
      </w:r>
    </w:p>
    <w:p>
      <w:pPr>
        <w:spacing w:after="140"/>
      </w:pPr>
      <w:r>
        <w:t xml:space="preserve">Device capture (</w:t>
      </w:r>
      <w:r>
        <w:rPr>
          <w:rFonts w:ascii="Consolas" w:hAnsi="Consolas"/>
        </w:rPr>
        <w:t xml:space="preserve">is_mobile</w:t>
      </w:r>
      <w:r>
        <w:t xml:space="preserve">, computed server-side from the user agent so client claims cannot skew it) shipped 2026-08-09 15:45 UTC. It covers a small tail of the event history.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Source</w:t>
            </w:r>
          </w:p>
        </w:tc>
        <w:tc>
          <w:tcPr>
            <w:tcW w:w="2340" w:type="dxa"/>
          </w:tcPr>
          <w:p>
            <w:pPr>
              <w:spacing w:after="0"/>
            </w:pPr>
            <w:r>
              <w:t xml:space="preserve">Rows</w:t>
            </w:r>
          </w:p>
        </w:tc>
        <w:tc>
          <w:tcPr>
            <w:tcW w:w="2340" w:type="dxa"/>
          </w:tcPr>
          <w:p>
            <w:pPr>
              <w:spacing w:after="0"/>
            </w:pPr>
            <w:r>
              <w:t xml:space="preserve">Carrying a device flag</w:t>
            </w:r>
          </w:p>
        </w:tc>
        <w:tc>
          <w:tcPr>
            <w:tcW w:w="2340" w:type="dxa"/>
          </w:tcPr>
          <w:p>
            <w:pPr>
              <w:spacing w:after="0"/>
            </w:pPr>
            <w:r>
              <w:t xml:space="preserve">Coverage</w:t>
            </w:r>
          </w:p>
        </w:tc>
      </w:tr>
      <w:tr>
        <w:tc>
          <w:tcPr>
            <w:tcW w:w="2340" w:type="dxa"/>
          </w:tcPr>
          <w:p>
            <w:pPr>
              <w:spacing w:after="0"/>
            </w:pPr>
            <w:r>
              <w:rPr>
                <w:rFonts w:ascii="Consolas" w:hAnsi="Consolas"/>
              </w:rPr>
              <w:t xml:space="preserve">gate-view</w:t>
            </w:r>
          </w:p>
        </w:tc>
        <w:tc>
          <w:tcPr>
            <w:tcW w:w="2340" w:type="dxa"/>
          </w:tcPr>
          <w:p>
            <w:pPr>
              <w:spacing w:after="0"/>
            </w:pPr>
            <w:r>
              <w:t xml:space="preserve">102</w:t>
            </w:r>
          </w:p>
        </w:tc>
        <w:tc>
          <w:tcPr>
            <w:tcW w:w="2340" w:type="dxa"/>
          </w:tcPr>
          <w:p>
            <w:pPr>
              <w:spacing w:after="0"/>
            </w:pPr>
            <w:r>
              <w:t xml:space="preserve">7</w:t>
            </w:r>
          </w:p>
        </w:tc>
        <w:tc>
          <w:tcPr>
            <w:tcW w:w="2340" w:type="dxa"/>
          </w:tcPr>
          <w:p>
            <w:pPr>
              <w:spacing w:after="0"/>
            </w:pPr>
            <w:r>
              <w:t xml:space="preserve">6.9%</w:t>
            </w:r>
          </w:p>
        </w:tc>
      </w:tr>
      <w:tr>
        <w:tc>
          <w:tcPr>
            <w:tcW w:w="2340" w:type="dxa"/>
          </w:tcPr>
          <w:p>
            <w:pPr>
              <w:spacing w:after="0"/>
            </w:pPr>
            <w:r>
              <w:rPr>
                <w:rFonts w:ascii="Consolas" w:hAnsi="Consolas"/>
              </w:rPr>
              <w:t xml:space="preserve">honor-link</w:t>
            </w:r>
          </w:p>
        </w:tc>
        <w:tc>
          <w:tcPr>
            <w:tcW w:w="2340" w:type="dxa"/>
          </w:tcPr>
          <w:p>
            <w:pPr>
              <w:spacing w:after="0"/>
            </w:pPr>
            <w:r>
              <w:t xml:space="preserve">3</w:t>
            </w:r>
          </w:p>
        </w:tc>
        <w:tc>
          <w:tcPr>
            <w:tcW w:w="2340" w:type="dxa"/>
          </w:tcPr>
          <w:p>
            <w:pPr>
              <w:spacing w:after="0"/>
            </w:pPr>
            <w:r>
              <w:t xml:space="preserve">3</w:t>
            </w:r>
          </w:p>
        </w:tc>
        <w:tc>
          <w:tcPr>
            <w:tcW w:w="2340" w:type="dxa"/>
          </w:tcPr>
          <w:p>
            <w:pPr>
              <w:spacing w:after="0"/>
            </w:pPr>
            <w:r>
              <w:t xml:space="preserve">100%</w:t>
            </w:r>
          </w:p>
        </w:tc>
      </w:tr>
      <w:tr>
        <w:tc>
          <w:tcPr>
            <w:tcW w:w="2340" w:type="dxa"/>
          </w:tcPr>
          <w:p>
            <w:pPr>
              <w:spacing w:after="0"/>
            </w:pPr>
            <w:r>
              <w:rPr>
                <w:rFonts w:ascii="Consolas" w:hAnsi="Consolas"/>
              </w:rPr>
              <w:t xml:space="preserve">contributor-link</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n/a</w:t>
            </w:r>
          </w:p>
        </w:tc>
      </w:tr>
      <w:tr>
        <w:tc>
          <w:tcPr>
            <w:tcW w:w="2340" w:type="dxa"/>
          </w:tcPr>
          <w:p>
            <w:pPr>
              <w:spacing w:after="0"/>
            </w:pPr>
            <w:r>
              <w:rPr>
                <w:b/>
              </w:rPr>
              <w:t xml:space="preserve">Total</w:t>
            </w:r>
          </w:p>
        </w:tc>
        <w:tc>
          <w:tcPr>
            <w:tcW w:w="2340" w:type="dxa"/>
          </w:tcPr>
          <w:p>
            <w:pPr>
              <w:spacing w:after="0"/>
            </w:pPr>
            <w:r>
              <w:t/>
            </w:r>
          </w:p>
        </w:tc>
        <w:tc>
          <w:tcPr>
            <w:tcW w:w="2340" w:type="dxa"/>
          </w:tcPr>
          <w:p>
            <w:pPr>
              <w:spacing w:after="0"/>
            </w:pPr>
            <w:r>
              <w:rPr>
                <w:b/>
              </w:rPr>
              <w:t xml:space="preserve">10</w:t>
            </w:r>
          </w:p>
        </w:tc>
        <w:tc>
          <w:tcPr>
            <w:tcW w:w="2340" w:type="dxa"/>
          </w:tcPr>
          <w:p>
            <w:pPr>
              <w:spacing w:after="0"/>
            </w:pPr>
            <w:r>
              <w:t/>
            </w:r>
          </w:p>
        </w:tc>
      </w:tr>
    </w:tbl>
    <w:p>
      <w:pPr/>
      <w:r>
        <w:t/>
      </w:r>
    </w:p>
    <w:p>
      <w:pPr>
        <w:pStyle w:val="Heading3"/>
        <w:spacing w:after="140"/>
      </w:pPr>
      <w:r>
        <w:t xml:space="preserve">2.2 The split, before and after removing crawlers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Cut</w:t>
            </w:r>
          </w:p>
        </w:tc>
        <w:tc>
          <w:tcPr>
            <w:tcW w:w="2340" w:type="dxa"/>
          </w:tcPr>
          <w:p>
            <w:pPr>
              <w:spacing w:after="0"/>
            </w:pPr>
            <w:r>
              <w:t xml:space="preserve">Mobile</w:t>
            </w:r>
          </w:p>
        </w:tc>
        <w:tc>
          <w:tcPr>
            <w:tcW w:w="2340" w:type="dxa"/>
          </w:tcPr>
          <w:p>
            <w:pPr>
              <w:spacing w:after="0"/>
            </w:pPr>
            <w:r>
              <w:t xml:space="preserve">Desktop</w:t>
            </w:r>
          </w:p>
        </w:tc>
        <w:tc>
          <w:tcPr>
            <w:tcW w:w="2340" w:type="dxa"/>
          </w:tcPr>
          <w:p>
            <w:pPr>
              <w:spacing w:after="0"/>
            </w:pPr>
            <w:r>
              <w:t xml:space="preserve">Mobile share</w:t>
            </w:r>
          </w:p>
        </w:tc>
      </w:tr>
      <w:tr>
        <w:tc>
          <w:tcPr>
            <w:tcW w:w="2340" w:type="dxa"/>
          </w:tcPr>
          <w:p>
            <w:pPr>
              <w:spacing w:after="0"/>
            </w:pPr>
            <w:r>
              <w:t xml:space="preserve">All device-flagged rows</w:t>
            </w:r>
          </w:p>
        </w:tc>
        <w:tc>
          <w:tcPr>
            <w:tcW w:w="2340" w:type="dxa"/>
          </w:tcPr>
          <w:p>
            <w:pPr>
              <w:spacing w:after="0"/>
            </w:pPr>
            <w:r>
              <w:t xml:space="preserve">8</w:t>
            </w:r>
          </w:p>
        </w:tc>
        <w:tc>
          <w:tcPr>
            <w:tcW w:w="2340" w:type="dxa"/>
          </w:tcPr>
          <w:p>
            <w:pPr>
              <w:spacing w:after="0"/>
            </w:pPr>
            <w:r>
              <w:t xml:space="preserve">2</w:t>
            </w:r>
          </w:p>
        </w:tc>
        <w:tc>
          <w:tcPr>
            <w:tcW w:w="2340" w:type="dxa"/>
          </w:tcPr>
          <w:p>
            <w:pPr>
              <w:spacing w:after="0"/>
            </w:pPr>
            <w:r>
              <w:t xml:space="preserve">80.0%</w:t>
            </w:r>
          </w:p>
        </w:tc>
      </w:tr>
      <w:tr>
        <w:tc>
          <w:tcPr>
            <w:tcW w:w="2340" w:type="dxa"/>
          </w:tcPr>
          <w:p>
            <w:pPr>
              <w:spacing w:after="0"/>
            </w:pPr>
            <w:r>
              <w:rPr>
                <w:b/>
              </w:rPr>
              <w:t xml:space="preserve">Crawlers removed</w:t>
            </w:r>
          </w:p>
        </w:tc>
        <w:tc>
          <w:tcPr>
            <w:tcW w:w="2340" w:type="dxa"/>
          </w:tcPr>
          <w:p>
            <w:pPr>
              <w:spacing w:after="0"/>
            </w:pPr>
            <w:r>
              <w:rPr>
                <w:b/>
              </w:rPr>
              <w:t xml:space="preserve">3</w:t>
            </w:r>
          </w:p>
        </w:tc>
        <w:tc>
          <w:tcPr>
            <w:tcW w:w="2340" w:type="dxa"/>
          </w:tcPr>
          <w:p>
            <w:pPr>
              <w:spacing w:after="0"/>
            </w:pPr>
            <w:r>
              <w:rPr>
                <w:b/>
              </w:rPr>
              <w:t xml:space="preserve">0</w:t>
            </w:r>
          </w:p>
        </w:tc>
        <w:tc>
          <w:tcPr>
            <w:tcW w:w="2340" w:type="dxa"/>
          </w:tcPr>
          <w:p>
            <w:pPr>
              <w:spacing w:after="0"/>
            </w:pPr>
            <w:r>
              <w:rPr>
                <w:b/>
              </w:rPr>
              <w:t xml:space="preserve">100%</w:t>
            </w:r>
          </w:p>
        </w:tc>
      </w:tr>
      <w:tr>
        <w:tc>
          <w:tcPr>
            <w:tcW w:w="2340" w:type="dxa"/>
          </w:tcPr>
          <w:p>
            <w:pPr>
              <w:spacing w:after="0"/>
            </w:pPr>
            <w:r>
              <w:t xml:space="preserve">Distinct human devices behind those 3 rows</w:t>
            </w:r>
          </w:p>
        </w:tc>
        <w:tc>
          <w:tcPr>
            <w:tcW w:w="2340" w:type="dxa"/>
          </w:tcPr>
          <w:p>
            <w:pPr>
              <w:spacing w:after="0"/>
            </w:pPr>
            <w:r>
              <w:rPr>
                <w:b/>
              </w:rPr>
              <w:t xml:space="preserve">1</w:t>
            </w:r>
          </w:p>
        </w:tc>
        <w:tc>
          <w:tcPr>
            <w:tcW w:w="2340" w:type="dxa"/>
          </w:tcPr>
          <w:p>
            <w:pPr>
              <w:spacing w:after="0"/>
            </w:pPr>
            <w:r>
              <w:t xml:space="preserve">0</w:t>
            </w:r>
          </w:p>
        </w:tc>
        <w:tc>
          <w:tcPr>
            <w:tcW w:w="2340" w:type="dxa"/>
          </w:tcPr>
          <w:p>
            <w:pPr>
              <w:spacing w:after="0"/>
            </w:pPr>
            <w:r>
              <w:t/>
            </w:r>
          </w:p>
        </w:tc>
      </w:tr>
    </w:tbl>
    <w:p>
      <w:pPr/>
      <w:r>
        <w:t/>
      </w:r>
    </w:p>
    <w:p>
      <w:pPr>
        <w:spacing w:after="140"/>
      </w:pPr>
      <w:r>
        <w:rPr>
          <w:b/>
        </w:rPr>
        <w:t xml:space="preserve">The 80% mobile figure currently published by `/api/asset-stats` is a crawler artifact.</w:t>
      </w:r>
      <w:r>
        <w:t xml:space="preserve"> Seven of the ten flagged rows are Googlebot, GoogleOther or Baiduspider, and Googlebot's smartphone user agent classifies as mobile, which is what put the mobile count at 8. Do not carry the 80% into any diligence document.</w:t>
      </w:r>
    </w:p>
    <w:p>
      <w:pPr>
        <w:spacing w:after="140"/>
      </w:pPr>
      <w:r>
        <w:t xml:space="preserve">The three genuinely human device rows are all one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t xml:space="preserve">Rows</w:t>
            </w:r>
          </w:p>
        </w:tc>
        <w:tc>
          <w:tcPr>
            <w:tcW w:w="4680" w:type="dxa"/>
          </w:tcPr>
          <w:p>
            <w:pPr>
              <w:spacing w:after="0"/>
            </w:pPr>
            <w:r>
              <w:t xml:space="preserve">3 page loads</w:t>
            </w:r>
          </w:p>
        </w:tc>
      </w:tr>
      <w:tr>
        <w:tc>
          <w:tcPr>
            <w:tcW w:w="4680" w:type="dxa"/>
          </w:tcPr>
          <w:p>
            <w:pPr>
              <w:spacing w:after="0"/>
            </w:pPr>
            <w:r>
              <w:t xml:space="preserve">Distinct people</w:t>
            </w:r>
          </w:p>
        </w:tc>
        <w:tc>
          <w:tcPr>
            <w:tcW w:w="4680" w:type="dxa"/>
          </w:tcPr>
          <w:p>
            <w:pPr>
              <w:spacing w:after="0"/>
            </w:pPr>
            <w:r>
              <w:t xml:space="preserve">1</w:t>
            </w:r>
          </w:p>
        </w:tc>
      </w:tr>
      <w:tr>
        <w:tc>
          <w:tcPr>
            <w:tcW w:w="4680" w:type="dxa"/>
          </w:tcPr>
          <w:p>
            <w:pPr>
              <w:spacing w:after="0"/>
            </w:pPr>
            <w:r>
              <w:t xml:space="preserve">Device</w:t>
            </w:r>
          </w:p>
        </w:tc>
        <w:tc>
          <w:tcPr>
            <w:tcW w:w="4680" w:type="dxa"/>
          </w:tcPr>
          <w:p>
            <w:pPr>
              <w:spacing w:after="0"/>
            </w:pPr>
            <w:r>
              <w:t xml:space="preserve">iPhone, iOS 18.7</w:t>
            </w:r>
          </w:p>
        </w:tc>
      </w:tr>
      <w:tr>
        <w:tc>
          <w:tcPr>
            <w:tcW w:w="4680" w:type="dxa"/>
          </w:tcPr>
          <w:p>
            <w:pPr>
              <w:spacing w:after="0"/>
            </w:pPr>
            <w:r>
              <w:t xml:space="preserve">Browser</w:t>
            </w:r>
          </w:p>
        </w:tc>
        <w:tc>
          <w:tcPr>
            <w:tcW w:w="4680" w:type="dxa"/>
          </w:tcPr>
          <w:p>
            <w:pPr>
              <w:spacing w:after="0"/>
            </w:pPr>
            <w:r>
              <w:t xml:space="preserve">LinkedIn in-app browser (</w:t>
            </w:r>
            <w:r>
              <w:rPr>
                <w:rFonts w:ascii="Consolas" w:hAnsi="Consolas"/>
              </w:rPr>
              <w:t xml:space="preserve">[LinkedInApp]/9.32.2674</w:t>
            </w:r>
            <w:r>
              <w:t xml:space="preserve">)</w:t>
            </w:r>
          </w:p>
        </w:tc>
      </w:tr>
      <w:tr>
        <w:tc>
          <w:tcPr>
            <w:tcW w:w="4680" w:type="dxa"/>
          </w:tcPr>
          <w:p>
            <w:pPr>
              <w:spacing w:after="0"/>
            </w:pPr>
            <w:r>
              <w:t xml:space="preserve">Country</w:t>
            </w:r>
          </w:p>
        </w:tc>
        <w:tc>
          <w:tcPr>
            <w:tcW w:w="4680" w:type="dxa"/>
          </w:tcPr>
          <w:p>
            <w:pPr>
              <w:spacing w:after="0"/>
            </w:pPr>
            <w:r>
              <w:t xml:space="preserve">US</w:t>
            </w:r>
          </w:p>
        </w:tc>
      </w:tr>
      <w:tr>
        <w:tc>
          <w:tcPr>
            <w:tcW w:w="4680" w:type="dxa"/>
          </w:tcPr>
          <w:p>
            <w:pPr>
              <w:spacing w:after="0"/>
            </w:pPr>
            <w:r>
              <w:t xml:space="preserve">Link</w:t>
            </w:r>
          </w:p>
        </w:tc>
        <w:tc>
          <w:tcPr>
            <w:tcW w:w="4680" w:type="dxa"/>
          </w:tcPr>
          <w:p>
            <w:pPr>
              <w:spacing w:after="0"/>
            </w:pPr>
            <w:r>
              <w:rPr>
                <w:rFonts w:ascii="Consolas" w:hAnsi="Consolas"/>
              </w:rPr>
              <w:t xml:space="preserve">honor-link</w:t>
            </w:r>
            <w:r>
              <w:t xml:space="preserve">, code H-2026-01</w:t>
            </w:r>
          </w:p>
        </w:tc>
      </w:tr>
      <w:tr>
        <w:tc>
          <w:tcPr>
            <w:tcW w:w="4680" w:type="dxa"/>
          </w:tcPr>
          <w:p>
            <w:pPr>
              <w:spacing w:after="0"/>
            </w:pPr>
            <w:r>
              <w:t xml:space="preserve">Window</w:t>
            </w:r>
          </w:p>
        </w:tc>
        <w:tc>
          <w:tcPr>
            <w:tcW w:w="4680" w:type="dxa"/>
          </w:tcPr>
          <w:p>
            <w:pPr>
              <w:spacing w:after="0"/>
            </w:pPr>
            <w:r>
              <w:t xml:space="preserve">2026-08-10 11:10:04 to 11:14:06 UTC</w:t>
            </w:r>
          </w:p>
        </w:tc>
      </w:tr>
    </w:tbl>
    <w:p>
      <w:pPr/>
      <w:r>
        <w:t/>
      </w:r>
    </w:p>
    <w:p>
      <w:pPr>
        <w:pStyle w:val="Heading3"/>
        <w:spacing w:after="140"/>
      </w:pPr>
      <w:r>
        <w:t xml:space="preserve">2.3 Conversion by device: not computable, and the reason is structural</w:t>
      </w:r>
    </w:p>
    <w:p>
      <w:pPr>
        <w:spacing w:after="140"/>
      </w:pPr>
      <w:r>
        <w:t xml:space="preserve">Conversion needs a numerator and a denominator that carry the same flag. This one does not, for a reason that will not resolve on its own:</w:t>
      </w:r>
    </w:p>
    <w:p>
      <w:pPr>
        <w:numPr>
          <w:ilvl w:val="0"/>
          <w:numId w:val="1"/>
        </w:numPr>
        <w:spacing w:after="60"/>
      </w:pPr>
      <w:r>
        <w:t xml:space="preserve">The </w:t>
      </w:r>
      <w:r>
        <w:rPr>
          <w:b/>
        </w:rPr>
        <w:t xml:space="preserve">denominator</w:t>
      </w:r>
      <w:r>
        <w:t xml:space="preserve"> (gate views) has carried a device flag only since 2026-08-09.</w:t>
      </w:r>
    </w:p>
    <w:p>
      <w:pPr>
        <w:numPr>
          <w:ilvl w:val="0"/>
          <w:numId w:val="1"/>
        </w:numPr>
        <w:spacing w:after="60"/>
      </w:pPr>
      <w:r>
        <w:t xml:space="preserve">The </w:t>
      </w:r>
      <w:r>
        <w:rPr>
          <w:b/>
        </w:rPr>
        <w:t xml:space="preserve">numerator</w:t>
      </w:r>
      <w:r>
        <w:t xml:space="preserve"> is one registration, dated </w:t>
      </w:r>
      <w:r>
        <w:rPr>
          <w:b/>
        </w:rPr>
        <w:t xml:space="preserve">2026-08-04</w:t>
      </w:r>
      <w:r>
        <w:t xml:space="preserve">, five days before capture existed. It carries no device flag and never will.</w:t>
      </w:r>
    </w:p>
    <w:p>
      <w:pPr>
        <w:spacing w:after="140"/>
      </w:pPr>
      <w:r>
        <w:t xml:space="preserve">So </w:t>
      </w:r>
      <w:r>
        <w:rPr>
          <w:rFonts w:ascii="Consolas" w:hAnsi="Consolas"/>
        </w:rPr>
        <w:t xml:space="preserve">mobile conversion</w:t>
      </w:r>
      <w:r>
        <w:t xml:space="preserve"> and </w:t>
      </w:r>
      <w:r>
        <w:rPr>
          <w:rFonts w:ascii="Consolas" w:hAnsi="Consolas"/>
        </w:rPr>
        <w:t xml:space="preserve">desktop conversion</w:t>
      </w:r>
      <w:r>
        <w:t xml:space="preserve"> are both </w:t>
      </w:r>
      <w:r>
        <w:rPr>
          <w:b/>
        </w:rPr>
        <w:t xml:space="preserve">undefined</w:t>
      </w:r>
      <w:r>
        <w:t xml:space="preserve">, not zero. The registration POST path in </w:t>
      </w:r>
      <w:r>
        <w:rPr>
          <w:rFonts w:ascii="Consolas" w:hAnsi="Consolas"/>
        </w:rPr>
        <w:t xml:space="preserve">api/access.js</w:t>
      </w:r>
      <w:r>
        <w:t xml:space="preserve"> does now write </w:t>
      </w:r>
      <w:r>
        <w:rPr>
          <w:rFonts w:ascii="Consolas" w:hAnsi="Consolas"/>
        </w:rPr>
        <w:t xml:space="preserve">user_agent</w:t>
      </w:r>
      <w:r>
        <w:t xml:space="preserve"> and </w:t>
      </w:r>
      <w:r>
        <w:rPr>
          <w:rFonts w:ascii="Consolas" w:hAnsi="Consolas"/>
        </w:rPr>
        <w:t xml:space="preserve">is_mobile</w:t>
      </w:r>
      <w:r>
        <w:t xml:space="preserve"> onto the contact row, so </w:t>
      </w:r>
      <w:r>
        <w:rPr>
          <w:b/>
        </w:rPr>
        <w:t xml:space="preserve">registration number two onward will be attributable</w:t>
      </w:r>
      <w:r>
        <w:t xml:space="preserve">. Registration number one is permanently unclassifiable.</w:t>
      </w:r>
    </w:p>
    <w:p>
      <w:pPr>
        <w:spacing w:after="140"/>
      </w:pPr>
      <w:r>
        <w:rPr>
          <w:b/>
        </w:rPr>
        <w:t xml:space="preserve">One signal survives all of this and is worth acting on.</w:t>
      </w:r>
      <w:r>
        <w:t xml:space="preserve"> The only human page load in the entire instrumented window came through the </w:t>
      </w:r>
      <w:r>
        <w:rPr>
          <w:b/>
        </w:rPr>
        <w:t xml:space="preserve">LinkedIn in-app browser on a phone</w:t>
      </w:r>
      <w:r>
        <w:t xml:space="preserve">. That is consistent with the traffic mix already known: LinkedIn is 62 of 101 gate views, 61.4%, nearly five times the next channel. The in-app browser is a constrained environment, and it is the environment that previously broke the terms link on this same gate. Every gate change should be checked there first, on a phone, in the LinkedIn app, not in a desktop browser.</w:t>
      </w:r>
    </w:p>
    <w:p>
      <w:pPr>
        <w:pBdr>
          <w:bottom w:val="single" w:sz="6" w:space="1" w:color="AAAAAA"/>
        </w:pBdr>
      </w:pPr>
    </w:p>
    <w:p>
      <w:pPr>
        <w:pStyle w:val="Heading2"/>
        <w:spacing w:after="140"/>
      </w:pPr>
      <w:r>
        <w:t xml:space="preserve">3. Outbound Link Opens</w:t>
      </w:r>
    </w:p>
    <w:p>
      <w:pPr>
        <w:pStyle w:val="Heading3"/>
        <w:spacing w:after="140"/>
      </w:pPr>
      <w:r>
        <w:t xml:space="preserve">3.1 The three link systems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System</w:t>
            </w:r>
          </w:p>
        </w:tc>
        <w:tc>
          <w:tcPr>
            <w:tcW w:w="1337" w:type="dxa"/>
          </w:tcPr>
          <w:p>
            <w:pPr>
              <w:spacing w:after="0"/>
            </w:pPr>
            <w:r>
              <w:t xml:space="preserve">Links issued</w:t>
            </w:r>
          </w:p>
        </w:tc>
        <w:tc>
          <w:tcPr>
            <w:tcW w:w="1337" w:type="dxa"/>
          </w:tcPr>
          <w:p>
            <w:pPr>
              <w:spacing w:after="0"/>
            </w:pPr>
            <w:r>
              <w:t xml:space="preserve">Links </w:t>
            </w:r>
            <w:r>
              <w:rPr>
                <w:b/>
              </w:rPr>
              <w:t xml:space="preserve">sent</w:t>
            </w:r>
          </w:p>
        </w:tc>
        <w:tc>
          <w:tcPr>
            <w:tcW w:w="1337" w:type="dxa"/>
          </w:tcPr>
          <w:p>
            <w:pPr>
              <w:spacing w:after="0"/>
            </w:pPr>
            <w:r>
              <w:t xml:space="preserve">Opened</w:t>
            </w:r>
          </w:p>
        </w:tc>
        <w:tc>
          <w:tcPr>
            <w:tcW w:w="1337" w:type="dxa"/>
          </w:tcPr>
          <w:p>
            <w:pPr>
              <w:spacing w:after="0"/>
            </w:pPr>
            <w:r>
              <w:t xml:space="preserve">Completed the action</w:t>
            </w:r>
          </w:p>
        </w:tc>
        <w:tc>
          <w:tcPr>
            <w:tcW w:w="1337" w:type="dxa"/>
          </w:tcPr>
          <w:p>
            <w:pPr>
              <w:spacing w:after="0"/>
            </w:pPr>
            <w:r>
              <w:t xml:space="preserve">Open rate on sent</w:t>
            </w:r>
          </w:p>
        </w:tc>
        <w:tc>
          <w:tcPr>
            <w:tcW w:w="1337" w:type="dxa"/>
          </w:tcPr>
          <w:p>
            <w:pPr>
              <w:spacing w:after="0"/>
            </w:pPr>
            <w:r>
              <w:t xml:space="preserve">Completion rate on opened</w:t>
            </w:r>
          </w:p>
        </w:tc>
      </w:tr>
      <w:tr>
        <w:tc>
          <w:tcPr>
            <w:tcW w:w="1337" w:type="dxa"/>
          </w:tcPr>
          <w:p>
            <w:pPr>
              <w:spacing w:after="0"/>
            </w:pPr>
            <w:r>
              <w:t xml:space="preserve">Honor</w:t>
            </w:r>
          </w:p>
        </w:tc>
        <w:tc>
          <w:tcPr>
            <w:tcW w:w="1337" w:type="dxa"/>
          </w:tcPr>
          <w:p>
            <w:pPr>
              <w:spacing w:after="0"/>
            </w:pPr>
            <w:r>
              <w:t xml:space="preserve">34</w:t>
            </w:r>
          </w:p>
        </w:tc>
        <w:tc>
          <w:tcPr>
            <w:tcW w:w="1337" w:type="dxa"/>
          </w:tcPr>
          <w:p>
            <w:pPr>
              <w:spacing w:after="0"/>
            </w:pPr>
            <w:r>
              <w:rPr>
                <w:b/>
              </w:rPr>
              <w:t xml:space="preserve">1</w:t>
            </w:r>
          </w:p>
        </w:tc>
        <w:tc>
          <w:tcPr>
            <w:tcW w:w="1337" w:type="dxa"/>
          </w:tcPr>
          <w:p>
            <w:pPr>
              <w:spacing w:after="0"/>
            </w:pPr>
            <w:r>
              <w:rPr>
                <w:b/>
              </w:rPr>
              <w:t xml:space="preserve">1</w:t>
            </w:r>
          </w:p>
        </w:tc>
        <w:tc>
          <w:tcPr>
            <w:tcW w:w="1337" w:type="dxa"/>
          </w:tcPr>
          <w:p>
            <w:pPr>
              <w:spacing w:after="0"/>
            </w:pPr>
            <w:r>
              <w:rPr>
                <w:b/>
              </w:rPr>
              <w:t xml:space="preserve">1</w:t>
            </w:r>
            <w:r>
              <w:t xml:space="preserve"> (accepted)</w:t>
            </w:r>
          </w:p>
        </w:tc>
        <w:tc>
          <w:tcPr>
            <w:tcW w:w="1337" w:type="dxa"/>
          </w:tcPr>
          <w:p>
            <w:pPr>
              <w:spacing w:after="0"/>
            </w:pPr>
            <w:r>
              <w:rPr>
                <w:b/>
              </w:rPr>
              <w:t xml:space="preserve">100%</w:t>
            </w:r>
          </w:p>
        </w:tc>
        <w:tc>
          <w:tcPr>
            <w:tcW w:w="1337" w:type="dxa"/>
          </w:tcPr>
          <w:p>
            <w:pPr>
              <w:spacing w:after="0"/>
            </w:pPr>
            <w:r>
              <w:rPr>
                <w:b/>
              </w:rPr>
              <w:t xml:space="preserve">100%</w:t>
            </w:r>
          </w:p>
        </w:tc>
      </w:tr>
      <w:tr>
        <w:tc>
          <w:tcPr>
            <w:tcW w:w="1337" w:type="dxa"/>
          </w:tcPr>
          <w:p>
            <w:pPr>
              <w:spacing w:after="0"/>
            </w:pPr>
            <w:r>
              <w:t xml:space="preserve">Contributor</w:t>
            </w:r>
          </w:p>
        </w:tc>
        <w:tc>
          <w:tcPr>
            <w:tcW w:w="1337" w:type="dxa"/>
          </w:tcPr>
          <w:p>
            <w:pPr>
              <w:spacing w:after="0"/>
            </w:pPr>
            <w:r>
              <w:t xml:space="preserve">20</w:t>
            </w:r>
          </w:p>
        </w:tc>
        <w:tc>
          <w:tcPr>
            <w:tcW w:w="1337" w:type="dxa"/>
          </w:tcPr>
          <w:p>
            <w:pPr>
              <w:spacing w:after="0"/>
            </w:pPr>
            <w:r>
              <w:rPr>
                <w:b/>
              </w:rPr>
              <w:t xml:space="preserve">0</w:t>
            </w:r>
          </w:p>
        </w:tc>
        <w:tc>
          <w:tcPr>
            <w:tcW w:w="1337" w:type="dxa"/>
          </w:tcPr>
          <w:p>
            <w:pPr>
              <w:spacing w:after="0"/>
            </w:pPr>
            <w:r>
              <w:t xml:space="preserve">0</w:t>
            </w:r>
          </w:p>
        </w:tc>
        <w:tc>
          <w:tcPr>
            <w:tcW w:w="1337" w:type="dxa"/>
          </w:tcPr>
          <w:p>
            <w:pPr>
              <w:spacing w:after="0"/>
            </w:pPr>
            <w:r>
              <w:t xml:space="preserve">0</w:t>
            </w:r>
          </w:p>
        </w:tc>
        <w:tc>
          <w:tcPr>
            <w:tcW w:w="1337" w:type="dxa"/>
          </w:tcPr>
          <w:p>
            <w:pPr>
              <w:spacing w:after="0"/>
            </w:pPr>
            <w:r>
              <w:t xml:space="preserve">n/a</w:t>
            </w:r>
          </w:p>
        </w:tc>
        <w:tc>
          <w:tcPr>
            <w:tcW w:w="1337" w:type="dxa"/>
          </w:tcPr>
          <w:p>
            <w:pPr>
              <w:spacing w:after="0"/>
            </w:pPr>
            <w:r>
              <w:t xml:space="preserve">n/a</w:t>
            </w:r>
          </w:p>
        </w:tc>
      </w:tr>
      <w:tr>
        <w:tc>
          <w:tcPr>
            <w:tcW w:w="1337" w:type="dxa"/>
          </w:tcPr>
          <w:p>
            <w:pPr>
              <w:spacing w:after="0"/>
            </w:pPr>
            <w:r>
              <w:t xml:space="preserve">Blind second read</w:t>
            </w:r>
          </w:p>
        </w:tc>
        <w:tc>
          <w:tcPr>
            <w:tcW w:w="1337" w:type="dxa"/>
          </w:tcPr>
          <w:p>
            <w:pPr>
              <w:spacing w:after="0"/>
            </w:pPr>
            <w:r>
              <w:t xml:space="preserve">3</w:t>
            </w:r>
          </w:p>
        </w:tc>
        <w:tc>
          <w:tcPr>
            <w:tcW w:w="1337" w:type="dxa"/>
          </w:tcPr>
          <w:p>
            <w:pPr>
              <w:spacing w:after="0"/>
            </w:pPr>
            <w:r>
              <w:rPr>
                <w:b/>
              </w:rPr>
              <w:t xml:space="preserve">0</w:t>
            </w:r>
          </w:p>
        </w:tc>
        <w:tc>
          <w:tcPr>
            <w:tcW w:w="1337" w:type="dxa"/>
          </w:tcPr>
          <w:p>
            <w:pPr>
              <w:spacing w:after="0"/>
            </w:pPr>
            <w:r>
              <w:t xml:space="preserve">0</w:t>
            </w:r>
          </w:p>
        </w:tc>
        <w:tc>
          <w:tcPr>
            <w:tcW w:w="1337" w:type="dxa"/>
          </w:tcPr>
          <w:p>
            <w:pPr>
              <w:spacing w:after="0"/>
            </w:pPr>
            <w:r>
              <w:t xml:space="preserve">0</w:t>
            </w:r>
          </w:p>
        </w:tc>
        <w:tc>
          <w:tcPr>
            <w:tcW w:w="1337" w:type="dxa"/>
          </w:tcPr>
          <w:p>
            <w:pPr>
              <w:spacing w:after="0"/>
            </w:pPr>
            <w:r>
              <w:t xml:space="preserve">n/a</w:t>
            </w:r>
          </w:p>
        </w:tc>
        <w:tc>
          <w:tcPr>
            <w:tcW w:w="1337" w:type="dxa"/>
          </w:tcPr>
          <w:p>
            <w:pPr>
              <w:spacing w:after="0"/>
            </w:pPr>
            <w:r>
              <w:t xml:space="preserve">n/a</w:t>
            </w:r>
          </w:p>
        </w:tc>
      </w:tr>
      <w:tr>
        <w:tc>
          <w:tcPr>
            <w:tcW w:w="1337" w:type="dxa"/>
          </w:tcPr>
          <w:p>
            <w:pPr>
              <w:spacing w:after="0"/>
            </w:pPr>
            <w:r>
              <w:rPr>
                <w:b/>
              </w:rPr>
              <w:t xml:space="preserve">Total</w:t>
            </w:r>
          </w:p>
        </w:tc>
        <w:tc>
          <w:tcPr>
            <w:tcW w:w="1337" w:type="dxa"/>
          </w:tcPr>
          <w:p>
            <w:pPr>
              <w:spacing w:after="0"/>
            </w:pPr>
            <w:r>
              <w:rPr>
                <w:b/>
              </w:rPr>
              <w:t xml:space="preserve">57</w:t>
            </w:r>
          </w:p>
        </w:tc>
        <w:tc>
          <w:tcPr>
            <w:tcW w:w="1337" w:type="dxa"/>
          </w:tcPr>
          <w:p>
            <w:pPr>
              <w:spacing w:after="0"/>
            </w:pPr>
            <w:r>
              <w:rPr>
                <w:b/>
              </w:rPr>
              <w:t xml:space="preserve">1</w:t>
            </w:r>
          </w:p>
        </w:tc>
        <w:tc>
          <w:tcPr>
            <w:tcW w:w="1337" w:type="dxa"/>
          </w:tcPr>
          <w:p>
            <w:pPr>
              <w:spacing w:after="0"/>
            </w:pPr>
            <w:r>
              <w:rPr>
                <w:b/>
              </w:rPr>
              <w:t xml:space="preserve">1</w:t>
            </w:r>
          </w:p>
        </w:tc>
        <w:tc>
          <w:tcPr>
            <w:tcW w:w="1337" w:type="dxa"/>
          </w:tcPr>
          <w:p>
            <w:pPr>
              <w:spacing w:after="0"/>
            </w:pPr>
            <w:r>
              <w:rPr>
                <w:b/>
              </w:rPr>
              <w:t xml:space="preserve">1</w:t>
            </w:r>
          </w:p>
        </w:tc>
        <w:tc>
          <w:tcPr>
            <w:tcW w:w="1337" w:type="dxa"/>
          </w:tcPr>
          <w:p>
            <w:pPr>
              <w:spacing w:after="0"/>
            </w:pPr>
            <w:r>
              <w:t/>
            </w:r>
          </w:p>
        </w:tc>
        <w:tc>
          <w:tcPr>
            <w:tcW w:w="1337" w:type="dxa"/>
          </w:tcPr>
          <w:p>
            <w:pPr>
              <w:spacing w:after="0"/>
            </w:pPr>
            <w:r>
              <w:t/>
            </w:r>
          </w:p>
        </w:tc>
      </w:tr>
    </w:tbl>
    <w:p>
      <w:pPr/>
      <w:r>
        <w:t/>
      </w:r>
    </w:p>
    <w:p>
      <w:pPr>
        <w:pStyle w:val="Heading3"/>
        <w:spacing w:after="140"/>
      </w:pPr>
      <w:r>
        <w:t xml:space="preserve">3.2 Reading these numbers correctly</w:t>
      </w:r>
    </w:p>
    <w:p>
      <w:pPr>
        <w:spacing w:after="140"/>
      </w:pPr>
      <w:r>
        <w:rPr>
          <w:rFonts w:ascii="Consolas" w:hAnsi="Consolas"/>
        </w:rPr>
        <w:t xml:space="preserve">/api/asset-stats</w:t>
      </w:r>
      <w:r>
        <w:t xml:space="preserve"> publishes </w:t>
      </w:r>
      <w:r>
        <w:rPr>
          <w:rFonts w:ascii="Consolas" w:hAnsi="Consolas"/>
        </w:rPr>
        <w:t xml:space="preserve">acceptance_rate_pct: 2.9</w:t>
      </w:r>
      <w:r>
        <w:t xml:space="preserve"> for the honor system. That is 1 acceptance over 34 </w:t>
      </w:r>
      <w:r>
        <w:rPr>
          <w:b/>
        </w:rPr>
        <w:t xml:space="preserve">issued</w:t>
      </w:r>
      <w:r>
        <w:t xml:space="preserve"> links. It is arithmetically right and it will be read wrong by anyone who does not read the accompanying note, because </w:t>
      </w:r>
      <w:r>
        <w:rPr>
          <w:b/>
        </w:rPr>
        <w:t xml:space="preserve">33 of the 34 links have never been sent to anyone</w:t>
      </w:r>
      <w:r>
        <w:t xml:space="preserve">. They are held pending close of the comparison study. All 20 contributor links are likewise unsent.</w:t>
      </w:r>
    </w:p>
    <w:p>
      <w:pPr>
        <w:spacing w:after="140"/>
      </w:pPr>
      <w:r>
        <w:t xml:space="preserve">Against links that were actually delivered, the honor system has a </w:t>
      </w:r>
      <w:r>
        <w:rPr>
          <w:b/>
        </w:rPr>
        <w:t xml:space="preserve">100% open rate and a 100% acceptance rate</w:t>
      </w:r>
      <w:r>
        <w:t xml:space="preserve">, on a sample of one. Both framings are true. The denominator has to travel with the number.</w:t>
      </w:r>
    </w:p>
    <w:p>
      <w:pPr>
        <w:spacing w:after="140"/>
      </w:pPr>
      <w:r>
        <w:t xml:space="preserve">The three page loads on the one open are a single person over four minutes, not three visits. Counted as distinct people the figure is 1, which is how </w:t>
      </w:r>
      <w:r>
        <w:rPr>
          <w:rFonts w:ascii="Consolas" w:hAnsi="Consolas"/>
        </w:rPr>
        <w:t xml:space="preserve">asset-stats</w:t>
      </w:r>
      <w:r>
        <w:t xml:space="preserve"> reports it and is the correct treatment.</w:t>
      </w:r>
    </w:p>
    <w:p>
      <w:pPr>
        <w:pStyle w:val="Heading3"/>
        <w:spacing w:after="140"/>
      </w:pPr>
      <w:r>
        <w:t xml:space="preserve">3.3 Certificate downloads: zero, and this one is fine</w:t>
      </w:r>
    </w:p>
    <w:p>
      <w:pPr>
        <w:spacing w:after="140"/>
      </w:pPr>
      <w:r>
        <w:rPr>
          <w:rFonts w:ascii="Consolas" w:hAnsi="Consolas"/>
        </w:rPr>
        <w:t xml:space="preserve">honor-cert</w:t>
      </w:r>
      <w:r>
        <w:t xml:space="preserve"> shows </w:t>
      </w:r>
      <w:r>
        <w:rPr>
          <w:b/>
        </w:rPr>
        <w:t xml:space="preserve">0 downloads</w:t>
      </w:r>
      <w:r>
        <w:t xml:space="preserve"> against 1 acceptance. That is not a drop-off. The certificate for H-2026-01 is being delivered as an email attachment, owner-side, not through the download endpoint. The endpoint measures a channel that is not being used for this recipient.</w:t>
      </w:r>
    </w:p>
    <w:p>
      <w:pPr>
        <w:spacing w:after="140"/>
      </w:pPr>
      <w:r>
        <w:rPr>
          <w:b/>
        </w:rPr>
        <w:t xml:space="preserve">Two things follow.</w:t>
      </w:r>
      <w:r>
        <w:t xml:space="preserve"> First, do not report </w:t>
      </w:r>
      <w:r>
        <w:rPr>
          <w:rFonts w:ascii="Consolas" w:hAnsi="Consolas"/>
        </w:rPr>
        <w:t xml:space="preserve">certificates_issued: 0</w:t>
      </w:r>
      <w:r>
        <w:t xml:space="preserve"> as a conversion failure; it is a channel mismatch. Second, and more useful: an emailed attachment produces </w:t>
      </w:r>
      <w:r>
        <w:rPr>
          <w:b/>
        </w:rPr>
        <w:t xml:space="preserve">no open signal at all</w:t>
      </w:r>
      <w:r>
        <w:t xml:space="preserve">, whereas the download endpoint produces one. If the point of these links is to generate evidence of professional engagement for an asset sale, the certificate should be delivered as a link to </w:t>
      </w:r>
      <w:r>
        <w:rPr>
          <w:rFonts w:ascii="Consolas" w:hAnsi="Consolas"/>
        </w:rPr>
        <w:t xml:space="preserve">honor-cert</w:t>
      </w:r>
      <w:r>
        <w:t xml:space="preserve">, not as an attachment. That converts a silent send into a measured one at no cost to the recipient.</w:t>
      </w:r>
    </w:p>
    <w:p>
      <w:pPr>
        <w:pStyle w:val="Heading3"/>
        <w:spacing w:after="140"/>
      </w:pPr>
      <w:r>
        <w:t xml:space="preserve">3.4 The reviewer evaluation suite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Stage</w:t>
            </w:r>
          </w:p>
        </w:tc>
        <w:tc>
          <w:tcPr>
            <w:tcW w:w="4680" w:type="dxa"/>
          </w:tcPr>
          <w:p>
            <w:pPr>
              <w:spacing w:after="0"/>
            </w:pPr>
            <w:r>
              <w:t xml:space="preserve">Count</w:t>
            </w:r>
          </w:p>
        </w:tc>
      </w:tr>
      <w:tr>
        <w:tc>
          <w:tcPr>
            <w:tcW w:w="4680" w:type="dxa"/>
          </w:tcPr>
          <w:p>
            <w:pPr>
              <w:spacing w:after="0"/>
            </w:pPr>
            <w:r>
              <w:t xml:space="preserve">Evaluation page opens</w:t>
            </w:r>
          </w:p>
        </w:tc>
        <w:tc>
          <w:tcPr>
            <w:tcW w:w="4680" w:type="dxa"/>
          </w:tcPr>
          <w:p>
            <w:pPr>
              <w:spacing w:after="0"/>
            </w:pPr>
            <w:r>
              <w:rPr>
                <w:b/>
              </w:rPr>
              <w:t xml:space="preserve">0</w:t>
            </w:r>
          </w:p>
        </w:tc>
      </w:tr>
      <w:tr>
        <w:tc>
          <w:tcPr>
            <w:tcW w:w="4680" w:type="dxa"/>
          </w:tcPr>
          <w:p>
            <w:pPr>
              <w:spacing w:after="0"/>
            </w:pPr>
            <w:r>
              <w:t xml:space="preserve">Submissions</w:t>
            </w:r>
          </w:p>
        </w:tc>
        <w:tc>
          <w:tcPr>
            <w:tcW w:w="4680" w:type="dxa"/>
          </w:tcPr>
          <w:p>
            <w:pPr>
              <w:spacing w:after="0"/>
            </w:pPr>
            <w:r>
              <w:rPr>
                <w:b/>
              </w:rPr>
              <w:t xml:space="preserve">0</w:t>
            </w:r>
          </w:p>
        </w:tc>
      </w:tr>
      <w:tr>
        <w:tc>
          <w:tcPr>
            <w:tcW w:w="4680" w:type="dxa"/>
          </w:tcPr>
          <w:p>
            <w:pPr>
              <w:spacing w:after="0"/>
            </w:pPr>
            <w:r>
              <w:t xml:space="preserve">Completed all 9 questions</w:t>
            </w:r>
          </w:p>
        </w:tc>
        <w:tc>
          <w:tcPr>
            <w:tcW w:w="4680" w:type="dxa"/>
          </w:tcPr>
          <w:p>
            <w:pPr>
              <w:spacing w:after="0"/>
            </w:pPr>
            <w:r>
              <w:rPr>
                <w:b/>
              </w:rPr>
              <w:t xml:space="preserve">0</w:t>
            </w:r>
          </w:p>
        </w:tc>
      </w:tr>
      <w:tr>
        <w:tc>
          <w:tcPr>
            <w:tcW w:w="4680" w:type="dxa"/>
          </w:tcPr>
          <w:p>
            <w:pPr>
              <w:spacing w:after="0"/>
            </w:pPr>
            <w:r>
              <w:t xml:space="preserve">Transferable contacts captured</w:t>
            </w:r>
          </w:p>
        </w:tc>
        <w:tc>
          <w:tcPr>
            <w:tcW w:w="4680" w:type="dxa"/>
          </w:tcPr>
          <w:p>
            <w:pPr>
              <w:spacing w:after="0"/>
            </w:pPr>
            <w:r>
              <w:rPr>
                <w:b/>
              </w:rPr>
              <w:t xml:space="preserve">0</w:t>
            </w:r>
          </w:p>
        </w:tc>
      </w:tr>
    </w:tbl>
    <w:p>
      <w:pPr/>
      <w:r>
        <w:t/>
      </w:r>
    </w:p>
    <w:p>
      <w:pPr>
        <w:spacing w:after="140"/>
      </w:pPr>
      <w:r>
        <w:t xml:space="preserve">The suite is built, instrumented end to end, and has never been sent to anyone. Every figure is a true zero rather than a missing measurement.</w:t>
      </w:r>
    </w:p>
    <w:p>
      <w:pPr>
        <w:pBdr>
          <w:bottom w:val="single" w:sz="6" w:space="1" w:color="AAAAAA"/>
        </w:pBdr>
      </w:pPr>
    </w:p>
    <w:p>
      <w:pPr>
        <w:pStyle w:val="Heading2"/>
        <w:spacing w:after="140"/>
      </w:pPr>
      <w:r>
        <w:t xml:space="preserve">4. Overall Funnel</w:t>
      </w:r>
    </w:p>
    <w:p>
      <w:pPr>
        <w:pStyle w:val="Heading3"/>
        <w:spacing w:after="140"/>
      </w:pPr>
      <w:r>
        <w:t xml:space="preserve">4.1 Gate: views against completed registrations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Stage</w:t>
            </w:r>
          </w:p>
        </w:tc>
        <w:tc>
          <w:tcPr>
            <w:tcW w:w="4680" w:type="dxa"/>
          </w:tcPr>
          <w:p>
            <w:pPr>
              <w:spacing w:after="0"/>
            </w:pPr>
            <w:r>
              <w:t xml:space="preserve">Count</w:t>
            </w:r>
          </w:p>
        </w:tc>
      </w:tr>
      <w:tr>
        <w:tc>
          <w:tcPr>
            <w:tcW w:w="4680" w:type="dxa"/>
          </w:tcPr>
          <w:p>
            <w:pPr>
              <w:spacing w:after="0"/>
            </w:pPr>
            <w:r>
              <w:t xml:space="preserve">Form views</w:t>
            </w:r>
          </w:p>
        </w:tc>
        <w:tc>
          <w:tcPr>
            <w:tcW w:w="4680" w:type="dxa"/>
          </w:tcPr>
          <w:p>
            <w:pPr>
              <w:spacing w:after="0"/>
            </w:pPr>
            <w:r>
              <w:rPr>
                <w:b/>
              </w:rPr>
              <w:t xml:space="preserve">101</w:t>
            </w:r>
          </w:p>
        </w:tc>
      </w:tr>
      <w:tr>
        <w:tc>
          <w:tcPr>
            <w:tcW w:w="4680" w:type="dxa"/>
          </w:tcPr>
          <w:p>
            <w:pPr>
              <w:spacing w:after="0"/>
            </w:pPr>
            <w:r>
              <w:t xml:space="preserve">Completed registrations</w:t>
            </w:r>
          </w:p>
        </w:tc>
        <w:tc>
          <w:tcPr>
            <w:tcW w:w="4680" w:type="dxa"/>
          </w:tcPr>
          <w:p>
            <w:pPr>
              <w:spacing w:after="0"/>
            </w:pPr>
            <w:r>
              <w:rPr>
                <w:b/>
              </w:rPr>
              <w:t xml:space="preserve">1</w:t>
            </w:r>
          </w:p>
        </w:tc>
      </w:tr>
      <w:tr>
        <w:tc>
          <w:tcPr>
            <w:tcW w:w="4680" w:type="dxa"/>
          </w:tcPr>
          <w:p>
            <w:pPr>
              <w:spacing w:after="0"/>
            </w:pPr>
            <w:r>
              <w:t xml:space="preserve">Abandoned</w:t>
            </w:r>
          </w:p>
        </w:tc>
        <w:tc>
          <w:tcPr>
            <w:tcW w:w="4680" w:type="dxa"/>
          </w:tcPr>
          <w:p>
            <w:pPr>
              <w:spacing w:after="0"/>
            </w:pPr>
            <w:r>
              <w:rPr>
                <w:b/>
              </w:rPr>
              <w:t xml:space="preserve">100</w:t>
            </w:r>
          </w:p>
        </w:tc>
      </w:tr>
      <w:tr>
        <w:tc>
          <w:tcPr>
            <w:tcW w:w="4680" w:type="dxa"/>
          </w:tcPr>
          <w:p>
            <w:pPr>
              <w:spacing w:after="0"/>
            </w:pPr>
            <w:r>
              <w:rPr>
                <w:b/>
              </w:rPr>
              <w:t xml:space="preserve">Overall conversion</w:t>
            </w:r>
          </w:p>
        </w:tc>
        <w:tc>
          <w:tcPr>
            <w:tcW w:w="4680" w:type="dxa"/>
          </w:tcPr>
          <w:p>
            <w:pPr>
              <w:spacing w:after="0"/>
            </w:pPr>
            <w:r>
              <w:rPr>
                <w:b/>
              </w:rPr>
              <w:t xml:space="preserve">0.99%</w:t>
            </w:r>
          </w:p>
        </w:tc>
      </w:tr>
    </w:tbl>
    <w:p>
      <w:pPr/>
      <w:r>
        <w:t/>
      </w:r>
    </w:p>
    <w:p>
      <w:pPr>
        <w:spacing w:after="140"/>
      </w:pPr>
      <w:r>
        <w:rPr>
          <w:b/>
        </w:rPr>
        <w:t xml:space="preserve">Correction to the published figure.</w:t>
      </w:r>
      <w:r>
        <w:t xml:space="preserve"> </w:t>
      </w:r>
      <w:r>
        <w:rPr>
          <w:rFonts w:ascii="Consolas" w:hAnsi="Consolas"/>
        </w:rPr>
        <w:t xml:space="preserve">/api/gate-stats</w:t>
      </w:r>
      <w:r>
        <w:t xml:space="preserve"> reported </w:t>
      </w:r>
      <w:r>
        <w:rPr>
          <w:rFonts w:ascii="Consolas" w:hAnsi="Consolas"/>
        </w:rPr>
        <w:t xml:space="preserve">form_views: 102</w:t>
      </w:r>
      <w:r>
        <w:t xml:space="preserve"> at the time of this analysis. That was a defect: the endpoint counted every row with </w:t>
      </w:r>
      <w:r>
        <w:rPr>
          <w:rFonts w:ascii="Consolas" w:hAnsi="Consolas"/>
        </w:rPr>
        <w:t xml:space="preserve">source = 'gate-view'</w:t>
      </w:r>
      <w:r>
        <w:t xml:space="preserve"> as a view without checking </w:t>
      </w:r>
      <w:r>
        <w:rPr>
          <w:rFonts w:ascii="Consolas" w:hAnsi="Consolas"/>
        </w:rPr>
        <w:t xml:space="preserve">type</w:t>
      </w:r>
      <w:r>
        <w:t xml:space="preserve">, so the single </w:t>
      </w:r>
      <w:r>
        <w:rPr>
          <w:rFonts w:ascii="Consolas" w:hAnsi="Consolas"/>
        </w:rPr>
        <w:t xml:space="preserve">field_touched</w:t>
      </w:r>
      <w:r>
        <w:t xml:space="preserve"> row landed in the view count and therefore in the conversion denominator. Fixed in this pass. The error was one row today; it would have compounded once field touches became common, since every reader who touched a field would have added a phantom abandonment and pushed the reported conversion rate down. Field touches are now reported separately as </w:t>
      </w:r>
      <w:r>
        <w:rPr>
          <w:rFonts w:ascii="Consolas" w:hAnsi="Consolas"/>
        </w:rPr>
        <w:t xml:space="preserve">field_touches</w:t>
      </w:r>
      <w:r>
        <w:t xml:space="preserve">, </w:t>
      </w:r>
      <w:r>
        <w:rPr>
          <w:rFonts w:ascii="Consolas" w:hAnsi="Consolas"/>
        </w:rPr>
        <w:t xml:space="preserve">field_touches_by_field</w:t>
      </w:r>
      <w:r>
        <w:t xml:space="preserve"> and </w:t>
      </w:r>
      <w:r>
        <w:rPr>
          <w:rFonts w:ascii="Consolas" w:hAnsi="Consolas"/>
        </w:rPr>
        <w:t xml:space="preserve">started_form_pct</w:t>
      </w:r>
      <w:r>
        <w:t xml:space="preserve">.</w:t>
      </w:r>
    </w:p>
    <w:p>
      <w:pPr>
        <w:pStyle w:val="Heading3"/>
        <w:spacing w:after="140"/>
      </w:pPr>
      <w:r>
        <w:t xml:space="preserve">4.2 Conversion by route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Route</w:t>
            </w:r>
          </w:p>
        </w:tc>
        <w:tc>
          <w:tcPr>
            <w:tcW w:w="2340" w:type="dxa"/>
          </w:tcPr>
          <w:p>
            <w:pPr>
              <w:spacing w:after="0"/>
            </w:pPr>
            <w:r>
              <w:t xml:space="preserve">Views</w:t>
            </w:r>
          </w:p>
        </w:tc>
        <w:tc>
          <w:tcPr>
            <w:tcW w:w="2340" w:type="dxa"/>
          </w:tcPr>
          <w:p>
            <w:pPr>
              <w:spacing w:after="0"/>
            </w:pPr>
            <w:r>
              <w:t xml:space="preserve">Registrations</w:t>
            </w:r>
          </w:p>
        </w:tc>
        <w:tc>
          <w:tcPr>
            <w:tcW w:w="2340" w:type="dxa"/>
          </w:tcPr>
          <w:p>
            <w:pPr>
              <w:spacing w:after="0"/>
            </w:pPr>
            <w:r>
              <w:t xml:space="preserve">Conversion</w:t>
            </w:r>
          </w:p>
        </w:tc>
      </w:tr>
      <w:tr>
        <w:tc>
          <w:tcPr>
            <w:tcW w:w="2340" w:type="dxa"/>
          </w:tcPr>
          <w:p>
            <w:pPr>
              <w:spacing w:after="0"/>
            </w:pPr>
            <w:r>
              <w:t xml:space="preserve">Campaign gate (support mode)</w:t>
            </w:r>
          </w:p>
        </w:tc>
        <w:tc>
          <w:tcPr>
            <w:tcW w:w="2340" w:type="dxa"/>
          </w:tcPr>
          <w:p>
            <w:pPr>
              <w:spacing w:after="0"/>
            </w:pPr>
            <w:r>
              <w:t xml:space="preserve">81</w:t>
            </w:r>
          </w:p>
        </w:tc>
        <w:tc>
          <w:tcPr>
            <w:tcW w:w="2340" w:type="dxa"/>
          </w:tcPr>
          <w:p>
            <w:pPr>
              <w:spacing w:after="0"/>
            </w:pPr>
            <w:r>
              <w:t xml:space="preserve">1</w:t>
            </w:r>
          </w:p>
        </w:tc>
        <w:tc>
          <w:tcPr>
            <w:tcW w:w="2340" w:type="dxa"/>
          </w:tcPr>
          <w:p>
            <w:pPr>
              <w:spacing w:after="0"/>
            </w:pPr>
            <w:r>
              <w:rPr>
                <w:b/>
              </w:rPr>
              <w:t xml:space="preserve">1.2%</w:t>
            </w:r>
          </w:p>
        </w:tc>
      </w:tr>
      <w:tr>
        <w:tc>
          <w:tcPr>
            <w:tcW w:w="2340" w:type="dxa"/>
          </w:tcPr>
          <w:p>
            <w:pPr>
              <w:spacing w:after="0"/>
            </w:pPr>
            <w:r>
              <w:t xml:space="preserve">Guide gate</w:t>
            </w:r>
          </w:p>
        </w:tc>
        <w:tc>
          <w:tcPr>
            <w:tcW w:w="2340" w:type="dxa"/>
          </w:tcPr>
          <w:p>
            <w:pPr>
              <w:spacing w:after="0"/>
            </w:pPr>
            <w:r>
              <w:t xml:space="preserve">20</w:t>
            </w:r>
          </w:p>
        </w:tc>
        <w:tc>
          <w:tcPr>
            <w:tcW w:w="2340" w:type="dxa"/>
          </w:tcPr>
          <w:p>
            <w:pPr>
              <w:spacing w:after="0"/>
            </w:pPr>
            <w:r>
              <w:t xml:space="preserve">0</w:t>
            </w:r>
          </w:p>
        </w:tc>
        <w:tc>
          <w:tcPr>
            <w:tcW w:w="2340" w:type="dxa"/>
          </w:tcPr>
          <w:p>
            <w:pPr>
              <w:spacing w:after="0"/>
            </w:pPr>
            <w:r>
              <w:rPr>
                <w:b/>
              </w:rPr>
              <w:t xml:space="preserve">0.0%</w:t>
            </w:r>
          </w:p>
        </w:tc>
      </w:tr>
      <w:tr>
        <w:tc>
          <w:tcPr>
            <w:tcW w:w="2340" w:type="dxa"/>
          </w:tcPr>
          <w:p>
            <w:pPr>
              <w:spacing w:after="0"/>
            </w:pPr>
            <w:r>
              <w:rPr>
                <w:b/>
              </w:rPr>
              <w:t xml:space="preserve">Total</w:t>
            </w:r>
          </w:p>
        </w:tc>
        <w:tc>
          <w:tcPr>
            <w:tcW w:w="2340" w:type="dxa"/>
          </w:tcPr>
          <w:p>
            <w:pPr>
              <w:spacing w:after="0"/>
            </w:pPr>
            <w:r>
              <w:rPr>
                <w:b/>
              </w:rPr>
              <w:t xml:space="preserve">101</w:t>
            </w:r>
          </w:p>
        </w:tc>
        <w:tc>
          <w:tcPr>
            <w:tcW w:w="2340" w:type="dxa"/>
          </w:tcPr>
          <w:p>
            <w:pPr>
              <w:spacing w:after="0"/>
            </w:pPr>
            <w:r>
              <w:rPr>
                <w:b/>
              </w:rPr>
              <w:t xml:space="preserve">1</w:t>
            </w:r>
          </w:p>
        </w:tc>
        <w:tc>
          <w:tcPr>
            <w:tcW w:w="2340" w:type="dxa"/>
          </w:tcPr>
          <w:p>
            <w:pPr>
              <w:spacing w:after="0"/>
            </w:pPr>
            <w:r>
              <w:rPr>
                <w:b/>
              </w:rPr>
              <w:t xml:space="preserve">0.99%</w:t>
            </w:r>
          </w:p>
        </w:tc>
      </w:tr>
    </w:tbl>
    <w:p>
      <w:pPr/>
      <w:r>
        <w:t/>
      </w:r>
    </w:p>
    <w:p>
      <w:pPr>
        <w:pStyle w:val="Heading3"/>
        <w:spacing w:after="140"/>
      </w:pPr>
      <w:r>
        <w:t xml:space="preserve">4.3 Movement since the last report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Measure</w:t>
            </w:r>
          </w:p>
        </w:tc>
        <w:tc>
          <w:tcPr>
            <w:tcW w:w="2340" w:type="dxa"/>
          </w:tcPr>
          <w:p>
            <w:pPr>
              <w:spacing w:after="0"/>
            </w:pPr>
            <w:r>
              <w:t xml:space="preserve">2026-08-09</w:t>
            </w:r>
          </w:p>
        </w:tc>
        <w:tc>
          <w:tcPr>
            <w:tcW w:w="2340" w:type="dxa"/>
          </w:tcPr>
          <w:p>
            <w:pPr>
              <w:spacing w:after="0"/>
            </w:pPr>
            <w:r>
              <w:t xml:space="preserve">2026-08-11</w:t>
            </w:r>
          </w:p>
        </w:tc>
        <w:tc>
          <w:tcPr>
            <w:tcW w:w="2340" w:type="dxa"/>
          </w:tcPr>
          <w:p>
            <w:pPr>
              <w:spacing w:after="0"/>
            </w:pPr>
            <w:r>
              <w:t xml:space="preserve">Change</w:t>
            </w:r>
          </w:p>
        </w:tc>
      </w:tr>
      <w:tr>
        <w:tc>
          <w:tcPr>
            <w:tcW w:w="2340" w:type="dxa"/>
          </w:tcPr>
          <w:p>
            <w:pPr>
              <w:spacing w:after="0"/>
            </w:pPr>
            <w:r>
              <w:t xml:space="preserve">Form views</w:t>
            </w:r>
          </w:p>
        </w:tc>
        <w:tc>
          <w:tcPr>
            <w:tcW w:w="2340" w:type="dxa"/>
          </w:tcPr>
          <w:p>
            <w:pPr>
              <w:spacing w:after="0"/>
            </w:pPr>
            <w:r>
              <w:t xml:space="preserve">95</w:t>
            </w:r>
          </w:p>
        </w:tc>
        <w:tc>
          <w:tcPr>
            <w:tcW w:w="2340" w:type="dxa"/>
          </w:tcPr>
          <w:p>
            <w:pPr>
              <w:spacing w:after="0"/>
            </w:pPr>
            <w:r>
              <w:t xml:space="preserve">101</w:t>
            </w:r>
          </w:p>
        </w:tc>
        <w:tc>
          <w:tcPr>
            <w:tcW w:w="2340" w:type="dxa"/>
          </w:tcPr>
          <w:p>
            <w:pPr>
              <w:spacing w:after="0"/>
            </w:pPr>
            <w:r>
              <w:t xml:space="preserve">+6</w:t>
            </w:r>
          </w:p>
        </w:tc>
      </w:tr>
      <w:tr>
        <w:tc>
          <w:tcPr>
            <w:tcW w:w="2340" w:type="dxa"/>
          </w:tcPr>
          <w:p>
            <w:pPr>
              <w:spacing w:after="0"/>
            </w:pPr>
            <w:r>
              <w:t xml:space="preserve">Registrations</w:t>
            </w:r>
          </w:p>
        </w:tc>
        <w:tc>
          <w:tcPr>
            <w:tcW w:w="2340" w:type="dxa"/>
          </w:tcPr>
          <w:p>
            <w:pPr>
              <w:spacing w:after="0"/>
            </w:pPr>
            <w:r>
              <w:t xml:space="preserve">1</w:t>
            </w:r>
          </w:p>
        </w:tc>
        <w:tc>
          <w:tcPr>
            <w:tcW w:w="2340" w:type="dxa"/>
          </w:tcPr>
          <w:p>
            <w:pPr>
              <w:spacing w:after="0"/>
            </w:pPr>
            <w:r>
              <w:t xml:space="preserve">1</w:t>
            </w:r>
          </w:p>
        </w:tc>
        <w:tc>
          <w:tcPr>
            <w:tcW w:w="2340" w:type="dxa"/>
          </w:tcPr>
          <w:p>
            <w:pPr>
              <w:spacing w:after="0"/>
            </w:pPr>
            <w:r>
              <w:rPr>
                <w:b/>
              </w:rPr>
              <w:t xml:space="preserve">0</w:t>
            </w:r>
          </w:p>
        </w:tc>
      </w:tr>
      <w:tr>
        <w:tc>
          <w:tcPr>
            <w:tcW w:w="2340" w:type="dxa"/>
          </w:tcPr>
          <w:p>
            <w:pPr>
              <w:spacing w:after="0"/>
            </w:pPr>
            <w:r>
              <w:t xml:space="preserve">Conversion</w:t>
            </w:r>
          </w:p>
        </w:tc>
        <w:tc>
          <w:tcPr>
            <w:tcW w:w="2340" w:type="dxa"/>
          </w:tcPr>
          <w:p>
            <w:pPr>
              <w:spacing w:after="0"/>
            </w:pPr>
            <w:r>
              <w:t xml:space="preserve">1.1%</w:t>
            </w:r>
          </w:p>
        </w:tc>
        <w:tc>
          <w:tcPr>
            <w:tcW w:w="2340" w:type="dxa"/>
          </w:tcPr>
          <w:p>
            <w:pPr>
              <w:spacing w:after="0"/>
            </w:pPr>
            <w:r>
              <w:t xml:space="preserve">0.99%</w:t>
            </w:r>
          </w:p>
        </w:tc>
        <w:tc>
          <w:tcPr>
            <w:tcW w:w="2340" w:type="dxa"/>
          </w:tcPr>
          <w:p>
            <w:pPr>
              <w:spacing w:after="0"/>
            </w:pPr>
            <w:r>
              <w:t xml:space="preserve">falling</w:t>
            </w:r>
          </w:p>
        </w:tc>
      </w:tr>
    </w:tbl>
    <w:p>
      <w:pPr/>
      <w:r>
        <w:t/>
      </w:r>
    </w:p>
    <w:p>
      <w:pPr>
        <w:spacing w:after="140"/>
      </w:pPr>
      <w:r>
        <w:t xml:space="preserve">All six new views are crawlers. </w:t>
      </w:r>
      <w:r>
        <w:rPr>
          <w:b/>
        </w:rPr>
        <w:t xml:space="preserve">The numerator has not moved in seven days.</w:t>
      </w:r>
      <w:r>
        <w:t xml:space="preserve"> Conversion is falling for the same arithmetic reason it was falling at the last report: the denominator grows and the numerator does not.</w:t>
      </w:r>
    </w:p>
    <w:p>
      <w:pPr>
        <w:pStyle w:val="Heading3"/>
        <w:spacing w:after="140"/>
      </w:pPr>
      <w:r>
        <w:t xml:space="preserve">4.4 Views by day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Date</w:t>
            </w:r>
          </w:p>
        </w:tc>
        <w:tc>
          <w:tcPr>
            <w:tcW w:w="1872" w:type="dxa"/>
          </w:tcPr>
          <w:p>
            <w:pPr>
              <w:spacing w:after="0"/>
            </w:pPr>
            <w:r>
              <w:t xml:space="preserve">Support</w:t>
            </w:r>
          </w:p>
        </w:tc>
        <w:tc>
          <w:tcPr>
            <w:tcW w:w="1872" w:type="dxa"/>
          </w:tcPr>
          <w:p>
            <w:pPr>
              <w:spacing w:after="0"/>
            </w:pPr>
            <w:r>
              <w:t xml:space="preserve">Guide</w:t>
            </w:r>
          </w:p>
        </w:tc>
        <w:tc>
          <w:tcPr>
            <w:tcW w:w="1872" w:type="dxa"/>
          </w:tcPr>
          <w:p>
            <w:pPr>
              <w:spacing w:after="0"/>
            </w:pPr>
            <w:r>
              <w:t xml:space="preserve">Total</w:t>
            </w:r>
          </w:p>
        </w:tc>
        <w:tc>
          <w:tcPr>
            <w:tcW w:w="1872" w:type="dxa"/>
          </w:tcPr>
          <w:p>
            <w:pPr>
              <w:spacing w:after="0"/>
            </w:pPr>
            <w:r>
              <w:t xml:space="preserve">Registrations</w:t>
            </w:r>
          </w:p>
        </w:tc>
      </w:tr>
      <w:tr>
        <w:tc>
          <w:tcPr>
            <w:tcW w:w="1872" w:type="dxa"/>
          </w:tcPr>
          <w:p>
            <w:pPr>
              <w:spacing w:after="0"/>
            </w:pPr>
            <w:r>
              <w:t xml:space="preserve">2026-08-04</w:t>
            </w:r>
          </w:p>
        </w:tc>
        <w:tc>
          <w:tcPr>
            <w:tcW w:w="1872" w:type="dxa"/>
          </w:tcPr>
          <w:p>
            <w:pPr>
              <w:spacing w:after="0"/>
            </w:pPr>
            <w:r>
              <w:t xml:space="preserve">3</w:t>
            </w:r>
          </w:p>
        </w:tc>
        <w:tc>
          <w:tcPr>
            <w:tcW w:w="1872" w:type="dxa"/>
          </w:tcPr>
          <w:p>
            <w:pPr>
              <w:spacing w:after="0"/>
            </w:pPr>
            <w:r>
              <w:t xml:space="preserve">0</w:t>
            </w:r>
          </w:p>
        </w:tc>
        <w:tc>
          <w:tcPr>
            <w:tcW w:w="1872" w:type="dxa"/>
          </w:tcPr>
          <w:p>
            <w:pPr>
              <w:spacing w:after="0"/>
            </w:pPr>
            <w:r>
              <w:t xml:space="preserve">3</w:t>
            </w:r>
          </w:p>
        </w:tc>
        <w:tc>
          <w:tcPr>
            <w:tcW w:w="1872" w:type="dxa"/>
          </w:tcPr>
          <w:p>
            <w:pPr>
              <w:spacing w:after="0"/>
            </w:pPr>
            <w:r>
              <w:rPr>
                <w:b/>
              </w:rPr>
              <w:t xml:space="preserve">1</w:t>
            </w:r>
          </w:p>
        </w:tc>
      </w:tr>
      <w:tr>
        <w:tc>
          <w:tcPr>
            <w:tcW w:w="1872" w:type="dxa"/>
          </w:tcPr>
          <w:p>
            <w:pPr>
              <w:spacing w:after="0"/>
            </w:pPr>
            <w:r>
              <w:t xml:space="preserve">2026-08-05</w:t>
            </w:r>
          </w:p>
        </w:tc>
        <w:tc>
          <w:tcPr>
            <w:tcW w:w="1872" w:type="dxa"/>
          </w:tcPr>
          <w:p>
            <w:pPr>
              <w:spacing w:after="0"/>
            </w:pPr>
            <w:r>
              <w:t xml:space="preserve">13</w:t>
            </w:r>
          </w:p>
        </w:tc>
        <w:tc>
          <w:tcPr>
            <w:tcW w:w="1872" w:type="dxa"/>
          </w:tcPr>
          <w:p>
            <w:pPr>
              <w:spacing w:after="0"/>
            </w:pPr>
            <w:r>
              <w:t xml:space="preserve">2</w:t>
            </w:r>
          </w:p>
        </w:tc>
        <w:tc>
          <w:tcPr>
            <w:tcW w:w="1872" w:type="dxa"/>
          </w:tcPr>
          <w:p>
            <w:pPr>
              <w:spacing w:after="0"/>
            </w:pPr>
            <w:r>
              <w:t xml:space="preserve">15</w:t>
            </w:r>
          </w:p>
        </w:tc>
        <w:tc>
          <w:tcPr>
            <w:tcW w:w="1872" w:type="dxa"/>
          </w:tcPr>
          <w:p>
            <w:pPr>
              <w:spacing w:after="0"/>
            </w:pPr>
            <w:r>
              <w:t xml:space="preserve">0</w:t>
            </w:r>
          </w:p>
        </w:tc>
      </w:tr>
      <w:tr>
        <w:tc>
          <w:tcPr>
            <w:tcW w:w="1872" w:type="dxa"/>
          </w:tcPr>
          <w:p>
            <w:pPr>
              <w:spacing w:after="0"/>
            </w:pPr>
            <w:r>
              <w:t xml:space="preserve">2026-08-06</w:t>
            </w:r>
          </w:p>
        </w:tc>
        <w:tc>
          <w:tcPr>
            <w:tcW w:w="1872" w:type="dxa"/>
          </w:tcPr>
          <w:p>
            <w:pPr>
              <w:spacing w:after="0"/>
            </w:pPr>
            <w:r>
              <w:t xml:space="preserve">16</w:t>
            </w:r>
          </w:p>
        </w:tc>
        <w:tc>
          <w:tcPr>
            <w:tcW w:w="1872" w:type="dxa"/>
          </w:tcPr>
          <w:p>
            <w:pPr>
              <w:spacing w:after="0"/>
            </w:pPr>
            <w:r>
              <w:t xml:space="preserve">3</w:t>
            </w:r>
          </w:p>
        </w:tc>
        <w:tc>
          <w:tcPr>
            <w:tcW w:w="1872" w:type="dxa"/>
          </w:tcPr>
          <w:p>
            <w:pPr>
              <w:spacing w:after="0"/>
            </w:pPr>
            <w:r>
              <w:t xml:space="preserve">19</w:t>
            </w:r>
          </w:p>
        </w:tc>
        <w:tc>
          <w:tcPr>
            <w:tcW w:w="1872" w:type="dxa"/>
          </w:tcPr>
          <w:p>
            <w:pPr>
              <w:spacing w:after="0"/>
            </w:pPr>
            <w:r>
              <w:t xml:space="preserve">0</w:t>
            </w:r>
          </w:p>
        </w:tc>
      </w:tr>
      <w:tr>
        <w:tc>
          <w:tcPr>
            <w:tcW w:w="1872" w:type="dxa"/>
          </w:tcPr>
          <w:p>
            <w:pPr>
              <w:spacing w:after="0"/>
            </w:pPr>
            <w:r>
              <w:t xml:space="preserve">2026-08-07</w:t>
            </w:r>
          </w:p>
        </w:tc>
        <w:tc>
          <w:tcPr>
            <w:tcW w:w="1872" w:type="dxa"/>
          </w:tcPr>
          <w:p>
            <w:pPr>
              <w:spacing w:after="0"/>
            </w:pPr>
            <w:r>
              <w:t xml:space="preserve">7</w:t>
            </w:r>
          </w:p>
        </w:tc>
        <w:tc>
          <w:tcPr>
            <w:tcW w:w="1872" w:type="dxa"/>
          </w:tcPr>
          <w:p>
            <w:pPr>
              <w:spacing w:after="0"/>
            </w:pPr>
            <w:r>
              <w:t xml:space="preserve">0</w:t>
            </w:r>
          </w:p>
        </w:tc>
        <w:tc>
          <w:tcPr>
            <w:tcW w:w="1872" w:type="dxa"/>
          </w:tcPr>
          <w:p>
            <w:pPr>
              <w:spacing w:after="0"/>
            </w:pPr>
            <w:r>
              <w:t xml:space="preserve">7</w:t>
            </w:r>
          </w:p>
        </w:tc>
        <w:tc>
          <w:tcPr>
            <w:tcW w:w="1872" w:type="dxa"/>
          </w:tcPr>
          <w:p>
            <w:pPr>
              <w:spacing w:after="0"/>
            </w:pPr>
            <w:r>
              <w:t xml:space="preserve">0</w:t>
            </w:r>
          </w:p>
        </w:tc>
      </w:tr>
      <w:tr>
        <w:tc>
          <w:tcPr>
            <w:tcW w:w="1872" w:type="dxa"/>
          </w:tcPr>
          <w:p>
            <w:pPr>
              <w:spacing w:after="0"/>
            </w:pPr>
            <w:r>
              <w:t xml:space="preserve">2026-08-08</w:t>
            </w:r>
          </w:p>
        </w:tc>
        <w:tc>
          <w:tcPr>
            <w:tcW w:w="1872" w:type="dxa"/>
          </w:tcPr>
          <w:p>
            <w:pPr>
              <w:spacing w:after="0"/>
            </w:pPr>
            <w:r>
              <w:t xml:space="preserve">31</w:t>
            </w:r>
          </w:p>
        </w:tc>
        <w:tc>
          <w:tcPr>
            <w:tcW w:w="1872" w:type="dxa"/>
          </w:tcPr>
          <w:p>
            <w:pPr>
              <w:spacing w:after="0"/>
            </w:pPr>
            <w:r>
              <w:t xml:space="preserve">13</w:t>
            </w:r>
          </w:p>
        </w:tc>
        <w:tc>
          <w:tcPr>
            <w:tcW w:w="1872" w:type="dxa"/>
          </w:tcPr>
          <w:p>
            <w:pPr>
              <w:spacing w:after="0"/>
            </w:pPr>
            <w:r>
              <w:t xml:space="preserve">44</w:t>
            </w:r>
          </w:p>
        </w:tc>
        <w:tc>
          <w:tcPr>
            <w:tcW w:w="1872" w:type="dxa"/>
          </w:tcPr>
          <w:p>
            <w:pPr>
              <w:spacing w:after="0"/>
            </w:pPr>
            <w:r>
              <w:t xml:space="preserve">0</w:t>
            </w:r>
          </w:p>
        </w:tc>
      </w:tr>
      <w:tr>
        <w:tc>
          <w:tcPr>
            <w:tcW w:w="1872" w:type="dxa"/>
          </w:tcPr>
          <w:p>
            <w:pPr>
              <w:spacing w:after="0"/>
            </w:pPr>
            <w:r>
              <w:t xml:space="preserve">2026-08-09</w:t>
            </w:r>
          </w:p>
        </w:tc>
        <w:tc>
          <w:tcPr>
            <w:tcW w:w="1872" w:type="dxa"/>
          </w:tcPr>
          <w:p>
            <w:pPr>
              <w:spacing w:after="0"/>
            </w:pPr>
            <w:r>
              <w:t xml:space="preserve">7</w:t>
            </w:r>
          </w:p>
        </w:tc>
        <w:tc>
          <w:tcPr>
            <w:tcW w:w="1872" w:type="dxa"/>
          </w:tcPr>
          <w:p>
            <w:pPr>
              <w:spacing w:after="0"/>
            </w:pPr>
            <w:r>
              <w:t xml:space="preserve">0</w:t>
            </w:r>
          </w:p>
        </w:tc>
        <w:tc>
          <w:tcPr>
            <w:tcW w:w="1872" w:type="dxa"/>
          </w:tcPr>
          <w:p>
            <w:pPr>
              <w:spacing w:after="0"/>
            </w:pPr>
            <w:r>
              <w:t xml:space="preserve">7</w:t>
            </w:r>
          </w:p>
        </w:tc>
        <w:tc>
          <w:tcPr>
            <w:tcW w:w="1872" w:type="dxa"/>
          </w:tcPr>
          <w:p>
            <w:pPr>
              <w:spacing w:after="0"/>
            </w:pPr>
            <w:r>
              <w:t xml:space="preserve">0</w:t>
            </w:r>
          </w:p>
        </w:tc>
      </w:tr>
      <w:tr>
        <w:tc>
          <w:tcPr>
            <w:tcW w:w="1872" w:type="dxa"/>
          </w:tcPr>
          <w:p>
            <w:pPr>
              <w:spacing w:after="0"/>
            </w:pPr>
            <w:r>
              <w:t xml:space="preserve">2026-08-10</w:t>
            </w:r>
          </w:p>
        </w:tc>
        <w:tc>
          <w:tcPr>
            <w:tcW w:w="1872" w:type="dxa"/>
          </w:tcPr>
          <w:p>
            <w:pPr>
              <w:spacing w:after="0"/>
            </w:pPr>
            <w:r>
              <w:t xml:space="preserve">4</w:t>
            </w:r>
          </w:p>
        </w:tc>
        <w:tc>
          <w:tcPr>
            <w:tcW w:w="1872" w:type="dxa"/>
          </w:tcPr>
          <w:p>
            <w:pPr>
              <w:spacing w:after="0"/>
            </w:pPr>
            <w:r>
              <w:t xml:space="preserve">2</w:t>
            </w:r>
          </w:p>
        </w:tc>
        <w:tc>
          <w:tcPr>
            <w:tcW w:w="1872" w:type="dxa"/>
          </w:tcPr>
          <w:p>
            <w:pPr>
              <w:spacing w:after="0"/>
            </w:pPr>
            <w:r>
              <w:t xml:space="preserve">6</w:t>
            </w:r>
          </w:p>
        </w:tc>
        <w:tc>
          <w:tcPr>
            <w:tcW w:w="1872" w:type="dxa"/>
          </w:tcPr>
          <w:p>
            <w:pPr>
              <w:spacing w:after="0"/>
            </w:pPr>
            <w:r>
              <w:t xml:space="preserve">0</w:t>
            </w:r>
          </w:p>
        </w:tc>
      </w:tr>
    </w:tbl>
    <w:p>
      <w:pPr/>
      <w:r>
        <w:t/>
      </w:r>
    </w:p>
    <w:p>
      <w:pPr>
        <w:pStyle w:val="Heading3"/>
        <w:spacing w:after="140"/>
      </w:pPr>
      <w:r>
        <w:t xml:space="preserve">4.5 A caution on the 101</w:t>
      </w:r>
    </w:p>
    <w:p>
      <w:pPr>
        <w:spacing w:after="140"/>
      </w:pPr>
      <w:r>
        <w:t xml:space="preserve">The deploy-check guard on gate telemetry shipped </w:t>
      </w:r>
      <w:r>
        <w:rPr>
          <w:b/>
        </w:rPr>
        <w:t xml:space="preserve">2026-08-10 13:23 UTC</w:t>
      </w:r>
      <w:r>
        <w:t xml:space="preserve">, and user-agent capture shipped </w:t>
      </w:r>
      <w:r>
        <w:rPr>
          <w:b/>
        </w:rPr>
        <w:t xml:space="preserve">2026-08-09 15:45</w:t>
      </w:r>
      <w:r>
        <w:t xml:space="preserve">. Neither existed for the first six days of this window, so for 95 of the 101 views there is no way to separate a reader from a crawler or from owner-side validation of the form.</w:t>
      </w:r>
    </w:p>
    <w:p>
      <w:pPr>
        <w:spacing w:after="140"/>
      </w:pPr>
      <w:r>
        <w:t xml:space="preserve">Two things suggest the 101 is soft. </w:t>
      </w:r>
      <w:r>
        <w:rPr>
          <w:b/>
        </w:rPr>
        <w:t xml:space="preserve">32 of the 101 views arrived within 60 seconds of the previous view</w:t>
      </w:r>
      <w:r>
        <w:t xml:space="preserve">, including runs at one-second intervals on 2026-08-08 during the window when the gate was being reframed and redeployed. And in the only window where identity is observable, the crawler share is 100%.</w:t>
      </w:r>
    </w:p>
    <w:p>
      <w:pPr>
        <w:spacing w:after="140"/>
      </w:pPr>
      <w:r>
        <w:rPr>
          <w:b/>
        </w:rPr>
        <w:t xml:space="preserve">The 101 should be treated as an upper bound on human views, and a loose one.</w:t>
      </w:r>
      <w:r>
        <w:t xml:space="preserve"> It is not wrong to publish, but it should never be published without the note. The forward figure, from 2026-08-10 onward, is clean: guarded, user-agent attributed, and separable.</w:t>
      </w:r>
    </w:p>
    <w:p>
      <w:pPr>
        <w:pStyle w:val="Heading3"/>
        <w:spacing w:after="140"/>
      </w:pPr>
      <w:r>
        <w:t xml:space="preserve">4.6 The other funnels, for contrast</w:t>
      </w:r>
    </w:p>
    <w:p>
      <w:pPr>
        <w:spacing w:after="140"/>
      </w:pPr>
      <w:r>
        <w:t xml:space="preserve">The gate is the weak instrument. It is not the whole picture, and the difference is instructive.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Funnel</w:t>
            </w:r>
          </w:p>
        </w:tc>
        <w:tc>
          <w:tcPr>
            <w:tcW w:w="3120" w:type="dxa"/>
          </w:tcPr>
          <w:p>
            <w:pPr>
              <w:spacing w:after="0"/>
            </w:pPr>
            <w:r>
              <w:t xml:space="preserve">Volume</w:t>
            </w:r>
          </w:p>
        </w:tc>
        <w:tc>
          <w:tcPr>
            <w:tcW w:w="3120" w:type="dxa"/>
          </w:tcPr>
          <w:p>
            <w:pPr>
              <w:spacing w:after="0"/>
            </w:pPr>
            <w:r>
              <w:t xml:space="preserve">Note</w:t>
            </w:r>
          </w:p>
        </w:tc>
      </w:tr>
      <w:tr>
        <w:tc>
          <w:tcPr>
            <w:tcW w:w="3120" w:type="dxa"/>
          </w:tcPr>
          <w:p>
            <w:pPr>
              <w:spacing w:after="0"/>
            </w:pPr>
            <w:r>
              <w:t xml:space="preserve">Endorsement widget (</w:t>
            </w:r>
            <w:r>
              <w:rPr>
                <w:rFonts w:ascii="Consolas" w:hAnsi="Consolas"/>
              </w:rPr>
              <w:t xml:space="preserve">support</w:t>
            </w:r>
            <w:r>
              <w:t xml:space="preserve">)</w:t>
            </w:r>
          </w:p>
        </w:tc>
        <w:tc>
          <w:tcPr>
            <w:tcW w:w="3120" w:type="dxa"/>
          </w:tcPr>
          <w:p>
            <w:pPr>
              <w:spacing w:after="0"/>
            </w:pPr>
            <w:r>
              <w:rPr>
                <w:b/>
              </w:rPr>
              <w:t xml:space="preserve">40</w:t>
            </w:r>
            <w:r>
              <w:t xml:space="preserve"> endorsements, 7 countries</w:t>
            </w:r>
          </w:p>
        </w:tc>
        <w:tc>
          <w:tcPr>
            <w:tcW w:w="3120" w:type="dxa"/>
          </w:tcPr>
          <w:p>
            <w:pPr>
              <w:spacing w:after="0"/>
            </w:pPr>
            <w:r>
              <w:t xml:space="preserve">No form, one click, no consent gate</w:t>
            </w:r>
          </w:p>
        </w:tc>
      </w:tr>
      <w:tr>
        <w:tc>
          <w:tcPr>
            <w:tcW w:w="3120" w:type="dxa"/>
          </w:tcPr>
          <w:p>
            <w:pPr>
              <w:spacing w:after="0"/>
            </w:pPr>
            <w:r>
              <w:t xml:space="preserve">Guide downloads (registered)</w:t>
            </w:r>
          </w:p>
        </w:tc>
        <w:tc>
          <w:tcPr>
            <w:tcW w:w="3120" w:type="dxa"/>
          </w:tcPr>
          <w:p>
            <w:pPr>
              <w:spacing w:after="0"/>
            </w:pPr>
            <w:r>
              <w:rPr>
                <w:b/>
              </w:rPr>
              <w:t xml:space="preserve">63</w:t>
            </w:r>
            <w:r>
              <w:t xml:space="preserve"> across 3 editions, 7 countries</w:t>
            </w:r>
          </w:p>
        </w:tc>
        <w:tc>
          <w:tcPr>
            <w:tcW w:w="3120" w:type="dxa"/>
          </w:tcPr>
          <w:p>
            <w:pPr>
              <w:spacing w:after="0"/>
            </w:pPr>
            <w:r>
              <w:t/>
            </w:r>
          </w:p>
        </w:tc>
      </w:tr>
      <w:tr>
        <w:tc>
          <w:tcPr>
            <w:tcW w:w="3120" w:type="dxa"/>
          </w:tcPr>
          <w:p>
            <w:pPr>
              <w:spacing w:after="0"/>
            </w:pPr>
            <w:r>
              <w:t xml:space="preserve">Public artifact downloads, all</w:t>
            </w:r>
          </w:p>
        </w:tc>
        <w:tc>
          <w:tcPr>
            <w:tcW w:w="3120" w:type="dxa"/>
          </w:tcPr>
          <w:p>
            <w:pPr>
              <w:spacing w:after="0"/>
            </w:pPr>
            <w:r>
              <w:rPr>
                <w:b/>
              </w:rPr>
              <w:t xml:space="preserve">160</w:t>
            </w:r>
          </w:p>
        </w:tc>
        <w:tc>
          <w:tcPr>
            <w:tcW w:w="3120" w:type="dxa"/>
          </w:tcPr>
          <w:p>
            <w:pPr>
              <w:spacing w:after="0"/>
            </w:pPr>
            <w:r>
              <w:t/>
            </w:r>
          </w:p>
        </w:tc>
      </w:tr>
      <w:tr>
        <w:tc>
          <w:tcPr>
            <w:tcW w:w="3120" w:type="dxa"/>
          </w:tcPr>
          <w:p>
            <w:pPr>
              <w:spacing w:after="0"/>
            </w:pPr>
            <w:r>
              <w:t xml:space="preserve">Training enrollments</w:t>
            </w:r>
          </w:p>
        </w:tc>
        <w:tc>
          <w:tcPr>
            <w:tcW w:w="3120" w:type="dxa"/>
          </w:tcPr>
          <w:p>
            <w:pPr>
              <w:spacing w:after="0"/>
            </w:pPr>
            <w:r>
              <w:t xml:space="preserve">7 enrolled, </w:t>
            </w:r>
            <w:r>
              <w:rPr>
                <w:b/>
              </w:rPr>
              <w:t xml:space="preserve">7 completed</w:t>
            </w:r>
            <w:r>
              <w:t xml:space="preserve">, 5 countries</w:t>
            </w:r>
          </w:p>
        </w:tc>
        <w:tc>
          <w:tcPr>
            <w:tcW w:w="3120" w:type="dxa"/>
          </w:tcPr>
          <w:p>
            <w:pPr>
              <w:spacing w:after="0"/>
            </w:pPr>
            <w:r>
              <w:rPr>
                <w:b/>
              </w:rPr>
              <w:t xml:space="preserve">100%</w:t>
            </w:r>
            <w:r>
              <w:t xml:space="preserve"> completion once started</w:t>
            </w:r>
          </w:p>
        </w:tc>
      </w:tr>
      <w:tr>
        <w:tc>
          <w:tcPr>
            <w:tcW w:w="3120" w:type="dxa"/>
          </w:tcPr>
          <w:p>
            <w:pPr>
              <w:spacing w:after="0"/>
            </w:pPr>
            <w:r>
              <w:t xml:space="preserve">Research participation</w:t>
            </w:r>
          </w:p>
        </w:tc>
        <w:tc>
          <w:tcPr>
            <w:tcW w:w="3120" w:type="dxa"/>
          </w:tcPr>
          <w:p>
            <w:pPr>
              <w:spacing w:after="0"/>
            </w:pPr>
            <w:r>
              <w:rPr>
                <w:b/>
              </w:rPr>
              <w:t xml:space="preserve">34</w:t>
            </w:r>
            <w:r>
              <w:t xml:space="preserve"> full-set completers</w:t>
            </w:r>
          </w:p>
        </w:tc>
        <w:tc>
          <w:tcPr>
            <w:tcW w:w="3120" w:type="dxa"/>
          </w:tcPr>
          <w:p>
            <w:pPr>
              <w:spacing w:after="0"/>
            </w:pPr>
            <w:r>
              <w:t/>
            </w:r>
          </w:p>
        </w:tc>
      </w:tr>
      <w:tr>
        <w:tc>
          <w:tcPr>
            <w:tcW w:w="3120" w:type="dxa"/>
          </w:tcPr>
          <w:p>
            <w:pPr>
              <w:spacing w:after="0"/>
            </w:pPr>
            <w:r>
              <w:t xml:space="preserve">Org pilot</w:t>
            </w:r>
          </w:p>
        </w:tc>
        <w:tc>
          <w:tcPr>
            <w:tcW w:w="3120" w:type="dxa"/>
          </w:tcPr>
          <w:p>
            <w:pPr>
              <w:spacing w:after="0"/>
            </w:pPr>
            <w:r>
              <w:rPr>
                <w:b/>
              </w:rPr>
              <w:t xml:space="preserve">0</w:t>
            </w:r>
            <w:r>
              <w:t xml:space="preserve"> organizations</w:t>
            </w:r>
          </w:p>
        </w:tc>
        <w:tc>
          <w:tcPr>
            <w:tcW w:w="3120" w:type="dxa"/>
          </w:tcPr>
          <w:p>
            <w:pPr>
              <w:spacing w:after="0"/>
            </w:pPr>
            <w:r>
              <w:t xml:space="preserve">Never sent</w:t>
            </w:r>
          </w:p>
        </w:tc>
      </w:tr>
    </w:tbl>
    <w:p>
      <w:pPr/>
      <w:r>
        <w:t/>
      </w:r>
    </w:p>
    <w:p>
      <w:pPr>
        <w:spacing w:after="140"/>
      </w:pPr>
      <w:r>
        <w:rPr>
          <w:b/>
        </w:rPr>
        <w:t xml:space="preserve">The pattern is consistent and it is the most actionable thing in this report.</w:t>
      </w:r>
      <w:r>
        <w:t xml:space="preserve"> Every surface that asks for a click converts. Every surface that asks for a form does not. Forty people endorsed with one click. One hundred and sixty artifacts were downloaded. Seven of seven people who started training finished it. One person out of at most 101 completed the gate form.</w:t>
      </w:r>
    </w:p>
    <w:p>
      <w:pPr>
        <w:spacing w:after="140"/>
      </w:pPr>
      <w:r>
        <w:t xml:space="preserve">The gate is not underperforming because of a field, a label, or a consent checkbox. Those were the hypotheses in the last report and field-level telemetry was built to test them. It has now been live for two days and has not tested them, because the traffic stopped. </w:t>
      </w:r>
      <w:r>
        <w:rPr>
          <w:b/>
        </w:rPr>
        <w:t xml:space="preserve">The gate's problem is currently a traffic problem, not a conversion problem</w:t>
      </w:r>
      <w:r>
        <w:t xml:space="preserve">, and no amount of form optimization addresses it.</w:t>
      </w:r>
    </w:p>
    <w:p>
      <w:pPr>
        <w:pBdr>
          <w:bottom w:val="single" w:sz="6" w:space="1" w:color="AAAAAA"/>
        </w:pBdr>
      </w:pPr>
    </w:p>
    <w:p>
      <w:pPr>
        <w:pStyle w:val="Heading2"/>
        <w:spacing w:after="140"/>
      </w:pPr>
      <w:r>
        <w:t xml:space="preserve">5. What this changes</w:t>
      </w:r>
    </w:p>
    <w:p>
      <w:pPr>
        <w:numPr>
          <w:ilvl w:val="0"/>
          <w:numId w:val="2"/>
        </w:numPr>
        <w:spacing w:after="60"/>
      </w:pPr>
      <w:r>
        <w:rPr>
          <w:b/>
        </w:rPr>
        <w:t xml:space="preserve">Do not publish the 80% mobile figure.</w:t>
      </w:r>
      <w:r>
        <w:t xml:space="preserve"> It is seven crawlers and three loads from one iPhone. </w:t>
      </w:r>
      <w:r>
        <w:rPr>
          <w:rFonts w:ascii="Consolas" w:hAnsi="Consolas"/>
        </w:rPr>
        <w:t xml:space="preserve">/api/asset-stats</w:t>
      </w:r>
      <w:r>
        <w:t xml:space="preserve"> already labels its device split as a partial denominator; it should also exclude crawler user agents before counting.</w:t>
      </w:r>
    </w:p>
    <w:p>
      <w:pPr>
        <w:numPr>
          <w:ilvl w:val="0"/>
          <w:numId w:val="2"/>
        </w:numPr>
        <w:spacing w:after="60"/>
      </w:pPr>
      <w:r>
        <w:rPr>
          <w:b/>
        </w:rPr>
        <w:t xml:space="preserve">Do not publish conversion by device.</w:t>
      </w:r>
      <w:r>
        <w:t xml:space="preserve"> It is undefined, not zero, and will stay undefined until registration number two.</w:t>
      </w:r>
    </w:p>
    <w:p>
      <w:pPr>
        <w:numPr>
          <w:ilvl w:val="0"/>
          <w:numId w:val="2"/>
        </w:numPr>
        <w:spacing w:after="60"/>
      </w:pPr>
      <w:r>
        <w:rPr>
          <w:b/>
        </w:rPr>
        <w:t xml:space="preserve">Publish honor engagement as 1 of 1 sent, never as 1 of 34 issued</w:t>
      </w:r>
      <w:r>
        <w:t xml:space="preserve">, or publish both with the note attached.</w:t>
      </w:r>
    </w:p>
    <w:p>
      <w:pPr>
        <w:numPr>
          <w:ilvl w:val="0"/>
          <w:numId w:val="2"/>
        </w:numPr>
        <w:spacing w:after="60"/>
      </w:pPr>
      <w:r>
        <w:rPr>
          <w:b/>
        </w:rPr>
        <w:t xml:space="preserve">Deliver the honor certificate as a link rather than an attachment.</w:t>
      </w:r>
      <w:r>
        <w:t xml:space="preserve"> It is the difference between a send you can evidence and one you cannot.</w:t>
      </w:r>
    </w:p>
    <w:p>
      <w:pPr>
        <w:numPr>
          <w:ilvl w:val="0"/>
          <w:numId w:val="2"/>
        </w:numPr>
        <w:spacing w:after="60"/>
      </w:pPr>
      <w:r>
        <w:rPr>
          <w:b/>
        </w:rPr>
        <w:t xml:space="preserve">Do not build more gate instrumentation yet.</w:t>
      </w:r>
      <w:r>
        <w:t xml:space="preserve"> The last-field-touched ping in section 1.3 is the right next instrument and the wrong next task. Two instruments now sit live over a window with zero human traffic.</w:t>
      </w:r>
    </w:p>
    <w:p>
      <w:pPr>
        <w:numPr>
          <w:ilvl w:val="0"/>
          <w:numId w:val="2"/>
        </w:numPr>
        <w:spacing w:after="60"/>
      </w:pPr>
      <w:r>
        <w:rPr>
          <w:b/>
        </w:rPr>
        <w:t xml:space="preserve">The measurable question is traffic, not friction.</w:t>
      </w:r>
      <w:r>
        <w:t xml:space="preserve"> LinkedIn is 61.4% of all gate views and the only human device observed came through the LinkedIn in-app browser on a phone. That is where both the traffic and the testing belong.</w:t>
      </w:r>
    </w:p>
    <w:p>
      <w:pPr>
        <w:pBdr>
          <w:bottom w:val="single" w:sz="6" w:space="1" w:color="AAAAAA"/>
        </w:pBdr>
      </w:pPr>
    </w:p>
    <w:p>
      <w:pPr>
        <w:pStyle w:val="Heading2"/>
        <w:spacing w:after="140"/>
      </w:pPr>
      <w:r>
        <w:t xml:space="preserve">6. Defects found and fixed in this pass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Defect</w:t>
            </w:r>
          </w:p>
        </w:tc>
        <w:tc>
          <w:tcPr>
            <w:tcW w:w="2340" w:type="dxa"/>
          </w:tcPr>
          <w:p>
            <w:pPr>
              <w:spacing w:after="0"/>
            </w:pPr>
            <w:r>
              <w:t xml:space="preserve">File</w:t>
            </w:r>
          </w:p>
        </w:tc>
        <w:tc>
          <w:tcPr>
            <w:tcW w:w="2340" w:type="dxa"/>
          </w:tcPr>
          <w:p>
            <w:pPr>
              <w:spacing w:after="0"/>
            </w:pPr>
            <w:r>
              <w:t xml:space="preserve">Effect</w:t>
            </w:r>
          </w:p>
        </w:tc>
        <w:tc>
          <w:tcPr>
            <w:tcW w:w="2340" w:type="dxa"/>
          </w:tcPr>
          <w:p>
            <w:pPr>
              <w:spacing w:after="0"/>
            </w:pPr>
            <w:r>
              <w:t xml:space="preserve">Status</w:t>
            </w:r>
          </w:p>
        </w:tc>
      </w:tr>
      <w:tr>
        <w:tc>
          <w:tcPr>
            <w:tcW w:w="2340" w:type="dxa"/>
          </w:tcPr>
          <w:p>
            <w:pPr>
              <w:spacing w:after="0"/>
            </w:pPr>
            <w:r>
              <w:rPr>
                <w:rFonts w:ascii="Consolas" w:hAnsi="Consolas"/>
              </w:rPr>
              <w:t xml:space="preserve">field_touched</w:t>
            </w:r>
            <w:r>
              <w:t xml:space="preserve"> rows counted as form views</w:t>
            </w:r>
          </w:p>
        </w:tc>
        <w:tc>
          <w:tcPr>
            <w:tcW w:w="2340" w:type="dxa"/>
          </w:tcPr>
          <w:p>
            <w:pPr>
              <w:spacing w:after="0"/>
            </w:pPr>
            <w:r>
              <w:rPr>
                <w:rFonts w:ascii="Consolas" w:hAnsi="Consolas"/>
              </w:rPr>
              <w:t xml:space="preserve">api/gate-stats.js</w:t>
            </w:r>
          </w:p>
        </w:tc>
        <w:tc>
          <w:tcPr>
            <w:tcW w:w="2340" w:type="dxa"/>
          </w:tcPr>
          <w:p>
            <w:pPr>
              <w:spacing w:after="0"/>
            </w:pPr>
            <w:r>
              <w:t xml:space="preserve">Inflated the conversion denominator; would have compounded with real traffic</w:t>
            </w:r>
          </w:p>
        </w:tc>
        <w:tc>
          <w:tcPr>
            <w:tcW w:w="2340" w:type="dxa"/>
          </w:tcPr>
          <w:p>
            <w:pPr>
              <w:spacing w:after="0"/>
            </w:pPr>
            <w:r>
              <w:rPr>
                <w:b/>
              </w:rPr>
              <w:t xml:space="preserve">Fixed.</w:t>
            </w:r>
            <w:r>
              <w:t xml:space="preserve"> Type check added; touches reported separately</w:t>
            </w:r>
          </w:p>
        </w:tc>
      </w:tr>
      <w:tr>
        <w:tc>
          <w:tcPr>
            <w:tcW w:w="2340" w:type="dxa"/>
          </w:tcPr>
          <w:p>
            <w:pPr>
              <w:spacing w:after="0"/>
            </w:pPr>
            <w:r>
              <w:rPr>
                <w:rFonts w:ascii="Consolas" w:hAnsi="Consolas"/>
              </w:rPr>
              <w:t xml:space="preserve">f-title</w:t>
            </w:r>
            <w:r>
              <w:t xml:space="preserve"> listed in the field-touch array</w:t>
            </w:r>
          </w:p>
        </w:tc>
        <w:tc>
          <w:tcPr>
            <w:tcW w:w="2340" w:type="dxa"/>
          </w:tcPr>
          <w:p>
            <w:pPr>
              <w:spacing w:after="0"/>
            </w:pPr>
            <w:r>
              <w:rPr>
                <w:rFonts w:ascii="Consolas" w:hAnsi="Consolas"/>
              </w:rPr>
              <w:t xml:space="preserve">access.html</w:t>
            </w:r>
          </w:p>
        </w:tc>
        <w:tc>
          <w:tcPr>
            <w:tcW w:w="2340" w:type="dxa"/>
          </w:tcPr>
          <w:p>
            <w:pPr>
              <w:spacing w:after="0"/>
            </w:pPr>
            <w:r>
              <w:t xml:space="preserve">Hidden input, cannot receive focus, could never fire the ping</w:t>
            </w:r>
          </w:p>
        </w:tc>
        <w:tc>
          <w:tcPr>
            <w:tcW w:w="2340" w:type="dxa"/>
          </w:tcPr>
          <w:p>
            <w:pPr>
              <w:spacing w:after="0"/>
            </w:pPr>
            <w:r>
              <w:rPr>
                <w:b/>
              </w:rPr>
              <w:t xml:space="preserve">Fixed.</w:t>
            </w:r>
            <w:r>
              <w:t xml:space="preserve"> Removed from </w:t>
            </w:r>
            <w:r>
              <w:rPr>
                <w:rFonts w:ascii="Consolas" w:hAnsi="Consolas"/>
              </w:rPr>
              <w:t xml:space="preserve">FIELDS</w:t>
            </w:r>
          </w:p>
        </w:tc>
      </w:tr>
    </w:tbl>
    <w:p>
      <w:pPr/>
      <w:r>
        <w:t/>
      </w:r>
    </w:p>
    <w:p>
      <w:pPr>
        <w:pBdr>
          <w:bottom w:val="single" w:sz="6" w:space="1" w:color="AAAAAA"/>
        </w:pBdr>
      </w:pPr>
    </w:p>
    <w:p>
      <w:pPr>
        <w:pStyle w:val="Heading2"/>
        <w:spacing w:after="140"/>
      </w:pPr>
      <w:r>
        <w:t xml:space="preserve">7. Provenance</w:t>
      </w:r>
    </w:p>
    <w:p>
      <w:pPr>
        <w:spacing w:after="140"/>
      </w:pPr>
      <w:r>
        <w:t xml:space="preserve">Every figure above is computed from live production data pulled 2026-08-11 02:49 UTC. </w:t>
      </w:r>
      <w:r>
        <w:rPr>
          <w:rFonts w:ascii="Consolas" w:hAnsi="Consolas"/>
        </w:rPr>
        <w:t xml:space="preserve">interaction_events</w:t>
      </w:r>
      <w:r>
        <w:t xml:space="preserve"> was read directly through the anon-readable view (344 rows, complete history). Aggregate and RLS-protected figures were read from the live endpoints on </w:t>
      </w:r>
      <w:r>
        <w:rPr>
          <w:rFonts w:ascii="Consolas" w:hAnsi="Consolas"/>
        </w:rPr>
        <w:t xml:space="preserve">jrsstandard.com</w:t>
      </w:r>
      <w:r>
        <w:t xml:space="preserve">. Crawler classification is by user-agent match on </w:t>
      </w:r>
      <w:r>
        <w:rPr>
          <w:rFonts w:ascii="Consolas" w:hAnsi="Consolas"/>
        </w:rPr>
        <w:t xml:space="preserve">bot</w:t>
      </w:r>
      <w:r>
        <w:t xml:space="preserve">, </w:t>
      </w:r>
      <w:r>
        <w:rPr>
          <w:rFonts w:ascii="Consolas" w:hAnsi="Consolas"/>
        </w:rPr>
        <w:t xml:space="preserve">spider</w:t>
      </w:r>
      <w:r>
        <w:t xml:space="preserve">, </w:t>
      </w:r>
      <w:r>
        <w:rPr>
          <w:rFonts w:ascii="Consolas" w:hAnsi="Consolas"/>
        </w:rPr>
        <w:t xml:space="preserve">crawl</w:t>
      </w:r>
      <w:r>
        <w:t xml:space="preserve">, </w:t>
      </w:r>
      <w:r>
        <w:rPr>
          <w:rFonts w:ascii="Consolas" w:hAnsi="Consolas"/>
        </w:rPr>
        <w:t xml:space="preserve">slurp</w:t>
      </w:r>
      <w:r>
        <w:t xml:space="preserve">, </w:t>
      </w:r>
      <w:r>
        <w:rPr>
          <w:rFonts w:ascii="Consolas" w:hAnsi="Consolas"/>
        </w:rPr>
        <w:t xml:space="preserve">GoogleOther</w:t>
      </w:r>
      <w:r>
        <w:t xml:space="preserve"> and </w:t>
      </w:r>
      <w:r>
        <w:rPr>
          <w:rFonts w:ascii="Consolas" w:hAnsi="Consolas"/>
        </w:rPr>
        <w:t xml:space="preserve">preview</w:t>
      </w:r>
      <w:r>
        <w:t xml:space="preserve">, applied at analysis time only. Nothing in this pass wrote to the database.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