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Calibri" w:hAnsi="Calibri"/>
          <w:b/>
          <w:color w:val="10376C"/>
          <w:sz w:val="42"/>
        </w:rPr>
        <w:t>EXECUTIVE SOLUTION PROPOSAL &amp; ARCHITECTURE</w:t>
      </w:r>
      <w:r>
        <w:rPr>
          <w:rFonts w:ascii="Calibri" w:hAnsi="Calibri"/>
          <w:b/>
          <w:color w:val="10376C"/>
          <w:sz w:val="42"/>
        </w:rPr>
        <w:br w:type="textWrapping"/>
      </w:r>
      <w:r>
        <w:rPr>
          <w:rFonts w:ascii="Calibri" w:hAnsi="Calibri"/>
          <w:i/>
          <w:color w:val="B45014"/>
          <w:sz w:val="26"/>
        </w:rPr>
        <w:t>Integrated Reconstruction &amp; Project Command System (ReconstructTigray RPIS)</w:t>
      </w:r>
    </w:p>
    <w:p>
      <w:pPr>
        <w:jc w:val="center"/>
      </w:pPr>
      <w:r>
        <w:rPr>
          <w:color w:val="10376C"/>
        </w:rPr>
        <w:t>――――――――――――――――――――――――――――――――――――――――――――――――――――――――――</w:t>
      </w:r>
    </w:p>
    <w:tbl>
      <w:tblPr>
        <w:tblStyle w:val="35"/>
        <w:tblW w:w="9936" w:type="dxa"/>
        <w:jc w:val="center"/>
        <w:tblInd w:w="0" w:type="dxa"/>
        <w:tblLayout w:type="fixed"/>
        <w:tblCellMar>
          <w:top w:w="0" w:type="dxa"/>
          <w:left w:w="108" w:type="dxa"/>
          <w:bottom w:w="0" w:type="dxa"/>
          <w:right w:w="108" w:type="dxa"/>
        </w:tblCellMar>
      </w:tblPr>
      <w:tblGrid>
        <w:gridCol w:w="4968"/>
        <w:gridCol w:w="4968"/>
      </w:tblGrid>
      <w:tr>
        <w:tblPrEx>
          <w:tblLayout w:type="fixed"/>
          <w:tblCellMar>
            <w:top w:w="0" w:type="dxa"/>
            <w:left w:w="108" w:type="dxa"/>
            <w:bottom w:w="0" w:type="dxa"/>
            <w:right w:w="108" w:type="dxa"/>
          </w:tblCellMar>
        </w:tblPrEx>
        <w:trPr>
          <w:jc w:val="center"/>
        </w:trPr>
        <w:tc>
          <w:tcPr>
            <w:tcW w:w="4968" w:type="dxa"/>
          </w:tcPr>
          <w:p>
            <w:r>
              <w:rPr>
                <w:b/>
                <w:sz w:val="20"/>
              </w:rPr>
              <w:t>Target Executive:</w:t>
            </w:r>
          </w:p>
        </w:tc>
        <w:tc>
          <w:tcPr>
            <w:tcW w:w="4968" w:type="dxa"/>
          </w:tcPr>
          <w:p>
            <w:r>
              <w:rPr>
                <w:sz w:val="20"/>
              </w:rPr>
              <w:t>Office of the Chief Executive for Economic Affairs and Reconstruction (Dr. Tewodros Aregay W/Selassie)</w:t>
            </w:r>
          </w:p>
        </w:tc>
      </w:tr>
      <w:tr>
        <w:tblPrEx>
          <w:tblLayout w:type="fixed"/>
          <w:tblCellMar>
            <w:top w:w="0" w:type="dxa"/>
            <w:left w:w="108" w:type="dxa"/>
            <w:bottom w:w="0" w:type="dxa"/>
            <w:right w:w="108" w:type="dxa"/>
          </w:tblCellMar>
        </w:tblPrEx>
        <w:trPr>
          <w:jc w:val="center"/>
        </w:trPr>
        <w:tc>
          <w:tcPr>
            <w:tcW w:w="4968" w:type="dxa"/>
          </w:tcPr>
          <w:p>
            <w:r>
              <w:rPr>
                <w:b/>
                <w:sz w:val="20"/>
              </w:rPr>
              <w:t>Special Design Focus:</w:t>
            </w:r>
          </w:p>
        </w:tc>
        <w:tc>
          <w:tcPr>
            <w:tcW w:w="4968" w:type="dxa"/>
          </w:tcPr>
          <w:p>
            <w:r>
              <w:rPr>
                <w:sz w:val="20"/>
              </w:rPr>
              <w:t>Single-Window Command Dashboard for Executive Oversight Without Field Travel</w:t>
            </w:r>
          </w:p>
        </w:tc>
      </w:tr>
      <w:tr>
        <w:tblPrEx>
          <w:tblLayout w:type="fixed"/>
          <w:tblCellMar>
            <w:top w:w="0" w:type="dxa"/>
            <w:left w:w="108" w:type="dxa"/>
            <w:bottom w:w="0" w:type="dxa"/>
            <w:right w:w="108" w:type="dxa"/>
          </w:tblCellMar>
        </w:tblPrEx>
        <w:trPr>
          <w:jc w:val="center"/>
        </w:trPr>
        <w:tc>
          <w:tcPr>
            <w:tcW w:w="4968" w:type="dxa"/>
          </w:tcPr>
          <w:p>
            <w:r>
              <w:rPr>
                <w:b/>
                <w:sz w:val="20"/>
              </w:rPr>
              <w:t>Prepared by:</w:t>
            </w:r>
          </w:p>
        </w:tc>
        <w:tc>
          <w:tcPr>
            <w:tcW w:w="4968" w:type="dxa"/>
          </w:tcPr>
          <w:p>
            <w:r>
              <w:rPr>
                <w:sz w:val="20"/>
              </w:rPr>
              <w:t>[Your Company Name]</w:t>
            </w:r>
          </w:p>
        </w:tc>
      </w:tr>
      <w:tr>
        <w:tblPrEx>
          <w:tblLayout w:type="fixed"/>
          <w:tblCellMar>
            <w:top w:w="0" w:type="dxa"/>
            <w:left w:w="108" w:type="dxa"/>
            <w:bottom w:w="0" w:type="dxa"/>
            <w:right w:w="108" w:type="dxa"/>
          </w:tblCellMar>
        </w:tblPrEx>
        <w:trPr>
          <w:jc w:val="center"/>
        </w:trPr>
        <w:tc>
          <w:tcPr>
            <w:tcW w:w="4968" w:type="dxa"/>
          </w:tcPr>
          <w:p>
            <w:r>
              <w:rPr>
                <w:b/>
                <w:sz w:val="20"/>
              </w:rPr>
              <w:t>Date:</w:t>
            </w:r>
          </w:p>
        </w:tc>
        <w:tc>
          <w:tcPr>
            <w:tcW w:w="4968" w:type="dxa"/>
          </w:tcPr>
          <w:p>
            <w:r>
              <w:rPr>
                <w:sz w:val="20"/>
              </w:rPr>
              <w:t>October 16, 2026</w:t>
            </w:r>
          </w:p>
        </w:tc>
      </w:tr>
    </w:tbl>
    <w:p/>
    <w:p>
      <w:pPr>
        <w:spacing w:before="280" w:after="80"/>
      </w:pPr>
      <w:r>
        <w:rPr>
          <w:rFonts w:ascii="Calibri" w:hAnsi="Calibri"/>
          <w:b/>
          <w:color w:val="10376C"/>
          <w:sz w:val="32"/>
        </w:rPr>
        <w:t>1. Executive Concept: Single-Window Command Oversight</w:t>
      </w:r>
    </w:p>
    <w:p>
      <w:r>
        <w:rPr>
          <w:sz w:val="21"/>
        </w:rPr>
        <w:t>The Chief Executive for Economic Affairs and Reconstruction operates under extreme time constraints and cannot physically visit distant weredas to assess damage or inspect ongoing construction projects. The ReconstructTigray RPIS (Reconstruction Project &amp; Information System) addresses this challenge directly by establishing a single-window digital command dashboard. From a central office, leadership gains total visibility over field damage data, real-time project progress, and financial analytics.</w:t>
      </w:r>
    </w:p>
    <w:p>
      <w:pPr>
        <w:spacing w:before="280" w:after="80"/>
      </w:pPr>
      <w:r>
        <w:rPr>
          <w:rFonts w:ascii="Calibri" w:hAnsi="Calibri"/>
          <w:b/>
          <w:color w:val="10376C"/>
          <w:sz w:val="32"/>
        </w:rPr>
        <w:t>2. Core Pillars of the RPIS System</w:t>
      </w:r>
    </w:p>
    <w:p>
      <w:pPr>
        <w:spacing w:before="200" w:after="60"/>
      </w:pPr>
      <w:r>
        <w:rPr>
          <w:rFonts w:ascii="Calibri" w:hAnsi="Calibri"/>
          <w:b/>
          <w:color w:val="10376C"/>
          <w:sz w:val="26"/>
        </w:rPr>
        <w:t>Pillar 1: Offline-First Field Damage Recorder Suite</w:t>
      </w:r>
    </w:p>
    <w:p>
      <w:pPr>
        <w:pStyle w:val="20"/>
      </w:pPr>
      <w:r>
        <w:rPr>
          <w:b/>
        </w:rPr>
        <w:t xml:space="preserve">Field Worker Offline App: </w:t>
      </w:r>
      <w:r>
        <w:t>Field teams gather data in remote zones without active internet connections. Data includes GPS coordinates, structural impact scores, inventory damage, geotagged photos, and audio notes.</w:t>
      </w:r>
    </w:p>
    <w:p>
      <w:pPr>
        <w:pStyle w:val="20"/>
      </w:pPr>
      <w:r>
        <w:rPr>
          <w:b/>
        </w:rPr>
        <w:t xml:space="preserve">Automatic Fetch &amp; Sync: </w:t>
      </w:r>
      <w:r>
        <w:t>As soon as field workers reach network coverage, recorded field logs automatically sync to the central executive database.</w:t>
      </w:r>
    </w:p>
    <w:p>
      <w:pPr>
        <w:spacing w:before="200" w:after="60"/>
      </w:pPr>
      <w:r>
        <w:rPr>
          <w:rFonts w:ascii="Calibri" w:hAnsi="Calibri"/>
          <w:b/>
          <w:color w:val="10376C"/>
          <w:sz w:val="26"/>
        </w:rPr>
        <w:t>Pillar 2: Single-Window Executive Command Dashboard</w:t>
      </w:r>
    </w:p>
    <w:p>
      <w:pPr>
        <w:pStyle w:val="20"/>
      </w:pPr>
      <w:r>
        <w:rPr>
          <w:b/>
        </w:rPr>
        <w:t xml:space="preserve">Daily Incident &amp; Progress Stream: </w:t>
      </w:r>
      <w:r>
        <w:t>Aggregates incoming field damage assessments and construction daily/weekly progress logs into a consolidated executive view.</w:t>
      </w:r>
    </w:p>
    <w:p>
      <w:pPr>
        <w:pStyle w:val="20"/>
      </w:pPr>
      <w:r>
        <w:rPr>
          <w:b/>
        </w:rPr>
        <w:t xml:space="preserve">Granular Drill-Down Capability: </w:t>
      </w:r>
      <w:r>
        <w:t>Executive leadership can view high-level sector summaries (Education, Health, Manufacturing, Agriculture) and drill down into specific weredas, individual schools, or hospitals to examine detailed damage reports and replacement estimates.</w:t>
      </w:r>
    </w:p>
    <w:p>
      <w:pPr>
        <w:spacing w:before="200" w:after="60"/>
      </w:pPr>
      <w:r>
        <w:rPr>
          <w:rFonts w:ascii="Calibri" w:hAnsi="Calibri"/>
          <w:b/>
          <w:color w:val="10376C"/>
          <w:sz w:val="26"/>
        </w:rPr>
        <w:t>Pillar 3: Construction &amp; Project Progress Control System</w:t>
      </w:r>
    </w:p>
    <w:p>
      <w:pPr>
        <w:pStyle w:val="20"/>
      </w:pPr>
      <w:r>
        <w:rPr>
          <w:b/>
        </w:rPr>
        <w:t xml:space="preserve">Dedicated Site Manager App: </w:t>
      </w:r>
      <w:r>
        <w:t>Assigned site engineers log daily/weekly progress percentages, uploaded site videos, photos, and compliance documents directly from job sites.</w:t>
      </w:r>
    </w:p>
    <w:p>
      <w:pPr>
        <w:pStyle w:val="20"/>
      </w:pPr>
      <w:r>
        <w:rPr>
          <w:b/>
        </w:rPr>
        <w:t xml:space="preserve">Progress &amp; Financial Synchronization: </w:t>
      </w:r>
      <w:r>
        <w:t>Tracks actual physical completion against milestone deadlines and budget releases, flagging delays or cost variances instantly.</w:t>
      </w:r>
    </w:p>
    <w:p>
      <w:pPr>
        <w:spacing w:before="200" w:after="60"/>
      </w:pPr>
      <w:r>
        <w:rPr>
          <w:rFonts w:ascii="Calibri" w:hAnsi="Calibri"/>
          <w:b/>
          <w:color w:val="10376C"/>
          <w:sz w:val="26"/>
        </w:rPr>
        <w:t>Pillar 4: Federal Government &amp; Prime Minister's Office Linkage</w:t>
      </w:r>
    </w:p>
    <w:p>
      <w:pPr>
        <w:pStyle w:val="20"/>
      </w:pPr>
      <w:r>
        <w:rPr>
          <w:b/>
        </w:rPr>
        <w:t xml:space="preserve">Executive Direct Link: </w:t>
      </w:r>
      <w:r>
        <w:t>Provides real-time read and audit access to the Prime Minister's Office and designated federal ministries.</w:t>
      </w:r>
    </w:p>
    <w:p>
      <w:pPr>
        <w:pStyle w:val="20"/>
      </w:pPr>
      <w:r>
        <w:rPr>
          <w:b/>
        </w:rPr>
        <w:t xml:space="preserve">Federal Progress Reporting: </w:t>
      </w:r>
      <w:r>
        <w:t>Automates daily and weekly progress digests for federal leadership without requiring manual reporting by regional staff.</w:t>
      </w:r>
    </w:p>
    <w:p>
      <w:pPr>
        <w:spacing w:before="200" w:after="60"/>
      </w:pPr>
      <w:r>
        <w:rPr>
          <w:rFonts w:ascii="Calibri" w:hAnsi="Calibri"/>
          <w:b/>
          <w:color w:val="10376C"/>
          <w:sz w:val="26"/>
        </w:rPr>
        <w:t>Pillar 5: AI-Driven Predictive Analytics &amp; Sector Decision Engine</w:t>
      </w:r>
    </w:p>
    <w:p>
      <w:pPr>
        <w:pStyle w:val="20"/>
      </w:pPr>
      <w:r>
        <w:rPr>
          <w:b/>
        </w:rPr>
        <w:t xml:space="preserve">Predictive Risk &amp; Timeline AI: </w:t>
      </w:r>
      <w:r>
        <w:t>Forecasts project completion dates, inflation risks, and material supply chain bottlenecks.</w:t>
      </w:r>
    </w:p>
    <w:p>
      <w:pPr>
        <w:pStyle w:val="20"/>
      </w:pPr>
      <w:r>
        <w:rPr>
          <w:b/>
        </w:rPr>
        <w:t xml:space="preserve">Prioritization Matrix: </w:t>
      </w:r>
      <w:r>
        <w:t>AI algorithms evaluate damage severity against social and economic impact to recommend optimal funding sequences.</w:t>
      </w:r>
    </w:p>
    <w:p>
      <w:pPr>
        <w:spacing w:before="280" w:after="80"/>
      </w:pPr>
      <w:r>
        <w:rPr>
          <w:rFonts w:ascii="Calibri" w:hAnsi="Calibri"/>
          <w:b/>
          <w:color w:val="10376C"/>
          <w:sz w:val="32"/>
        </w:rPr>
        <w:t>3. System Architecture &amp; Technical Specifications</w:t>
      </w:r>
    </w:p>
    <w:tbl>
      <w:tblPr>
        <w:tblStyle w:val="35"/>
        <w:tblW w:w="9936" w:type="dxa"/>
        <w:jc w:val="center"/>
        <w:tblInd w:w="0" w:type="dxa"/>
        <w:tblLayout w:type="fixed"/>
        <w:tblCellMar>
          <w:top w:w="0" w:type="dxa"/>
          <w:left w:w="108" w:type="dxa"/>
          <w:bottom w:w="0" w:type="dxa"/>
          <w:right w:w="108" w:type="dxa"/>
        </w:tblCellMar>
      </w:tblPr>
      <w:tblGrid>
        <w:gridCol w:w="4968"/>
        <w:gridCol w:w="4968"/>
      </w:tblGrid>
      <w:tr>
        <w:tblPrEx>
          <w:tblLayout w:type="fixed"/>
          <w:tblCellMar>
            <w:top w:w="0" w:type="dxa"/>
            <w:left w:w="108" w:type="dxa"/>
            <w:bottom w:w="0" w:type="dxa"/>
            <w:right w:w="108" w:type="dxa"/>
          </w:tblCellMar>
        </w:tblPrEx>
        <w:trPr>
          <w:jc w:val="center"/>
        </w:trPr>
        <w:tc>
          <w:tcPr>
            <w:tcW w:w="4968" w:type="dxa"/>
            <w:shd w:val="clear" w:color="auto" w:fill="10376C"/>
          </w:tcPr>
          <w:p>
            <w:r>
              <w:rPr>
                <w:b/>
                <w:color w:val="FFFFFF"/>
              </w:rPr>
              <w:t>System Dimension</w:t>
            </w:r>
          </w:p>
        </w:tc>
        <w:tc>
          <w:tcPr>
            <w:tcW w:w="4968" w:type="dxa"/>
            <w:shd w:val="clear" w:color="auto" w:fill="10376C"/>
          </w:tcPr>
          <w:p>
            <w:r>
              <w:rPr>
                <w:b/>
                <w:color w:val="FFFFFF"/>
              </w:rPr>
              <w:t>Technical Implementation Standard</w:t>
            </w:r>
          </w:p>
        </w:tc>
      </w:tr>
      <w:tr>
        <w:tblPrEx>
          <w:tblLayout w:type="fixed"/>
          <w:tblCellMar>
            <w:top w:w="0" w:type="dxa"/>
            <w:left w:w="108" w:type="dxa"/>
            <w:bottom w:w="0" w:type="dxa"/>
            <w:right w:w="108" w:type="dxa"/>
          </w:tblCellMar>
        </w:tblPrEx>
        <w:trPr>
          <w:jc w:val="center"/>
        </w:trPr>
        <w:tc>
          <w:tcPr>
            <w:tcW w:w="4968" w:type="dxa"/>
          </w:tcPr>
          <w:p>
            <w:r>
              <w:rPr>
                <w:b/>
              </w:rPr>
              <w:t>Dashboard UI</w:t>
            </w:r>
          </w:p>
        </w:tc>
        <w:tc>
          <w:tcPr>
            <w:tcW w:w="4968" w:type="dxa"/>
          </w:tcPr>
          <w:p>
            <w:r>
              <w:t>Web-based Single-Page Application (React/Next.js) optimized for ultra-fast executive decision-making</w:t>
            </w:r>
          </w:p>
        </w:tc>
      </w:tr>
      <w:tr>
        <w:tblPrEx>
          <w:tblLayout w:type="fixed"/>
          <w:tblCellMar>
            <w:top w:w="0" w:type="dxa"/>
            <w:left w:w="108" w:type="dxa"/>
            <w:bottom w:w="0" w:type="dxa"/>
            <w:right w:w="108" w:type="dxa"/>
          </w:tblCellMar>
        </w:tblPrEx>
        <w:trPr>
          <w:jc w:val="center"/>
        </w:trPr>
        <w:tc>
          <w:tcPr>
            <w:tcW w:w="4968" w:type="dxa"/>
          </w:tcPr>
          <w:p>
            <w:r>
              <w:rPr>
                <w:b/>
              </w:rPr>
              <w:t>Field App</w:t>
            </w:r>
          </w:p>
        </w:tc>
        <w:tc>
          <w:tcPr>
            <w:tcW w:w="4968" w:type="dxa"/>
          </w:tcPr>
          <w:p>
            <w:r>
              <w:t>Offline-first Flutter mobile application with encrypted local SQLite storage and automated sync queue</w:t>
            </w:r>
          </w:p>
        </w:tc>
      </w:tr>
      <w:tr>
        <w:tblPrEx>
          <w:tblLayout w:type="fixed"/>
          <w:tblCellMar>
            <w:top w:w="0" w:type="dxa"/>
            <w:left w:w="108" w:type="dxa"/>
            <w:bottom w:w="0" w:type="dxa"/>
            <w:right w:w="108" w:type="dxa"/>
          </w:tblCellMar>
        </w:tblPrEx>
        <w:trPr>
          <w:jc w:val="center"/>
        </w:trPr>
        <w:tc>
          <w:tcPr>
            <w:tcW w:w="4968" w:type="dxa"/>
          </w:tcPr>
          <w:p>
            <w:r>
              <w:rPr>
                <w:b/>
              </w:rPr>
              <w:t>Backend Architecture</w:t>
            </w:r>
          </w:p>
        </w:tc>
        <w:tc>
          <w:tcPr>
            <w:tcW w:w="4968" w:type="dxa"/>
          </w:tcPr>
          <w:p>
            <w:r>
              <w:t xml:space="preserve">Containerized </w:t>
            </w:r>
            <w:r>
              <w:t>featured architecture</w:t>
            </w:r>
            <w:r>
              <w:t>(</w:t>
            </w:r>
            <w:r>
              <w:t>java springboot</w:t>
            </w:r>
            <w:r>
              <w:t>) with WebSocket live streaming</w:t>
            </w:r>
          </w:p>
        </w:tc>
      </w:tr>
      <w:tr>
        <w:tblPrEx>
          <w:tblLayout w:type="fixed"/>
          <w:tblCellMar>
            <w:top w:w="0" w:type="dxa"/>
            <w:left w:w="108" w:type="dxa"/>
            <w:bottom w:w="0" w:type="dxa"/>
            <w:right w:w="108" w:type="dxa"/>
          </w:tblCellMar>
        </w:tblPrEx>
        <w:trPr>
          <w:jc w:val="center"/>
        </w:trPr>
        <w:tc>
          <w:tcPr>
            <w:tcW w:w="4968" w:type="dxa"/>
          </w:tcPr>
          <w:p>
            <w:r>
              <w:rPr>
                <w:b/>
              </w:rPr>
              <w:t>Federal API Gateway</w:t>
            </w:r>
          </w:p>
        </w:tc>
        <w:tc>
          <w:tcPr>
            <w:tcW w:w="4968" w:type="dxa"/>
          </w:tcPr>
          <w:p>
            <w:r>
              <w:t>Secure RESTful</w:t>
            </w:r>
            <w:bookmarkStart w:id="0" w:name="_GoBack"/>
            <w:bookmarkEnd w:id="0"/>
            <w:r>
              <w:t xml:space="preserve"> API with AES-256 encryption and role-based data views for Federal PMO</w:t>
            </w:r>
          </w:p>
        </w:tc>
      </w:tr>
      <w:tr>
        <w:tblPrEx>
          <w:tblLayout w:type="fixed"/>
          <w:tblCellMar>
            <w:top w:w="0" w:type="dxa"/>
            <w:left w:w="108" w:type="dxa"/>
            <w:bottom w:w="0" w:type="dxa"/>
            <w:right w:w="108" w:type="dxa"/>
          </w:tblCellMar>
        </w:tblPrEx>
        <w:trPr>
          <w:jc w:val="center"/>
        </w:trPr>
        <w:tc>
          <w:tcPr>
            <w:tcW w:w="4968" w:type="dxa"/>
          </w:tcPr>
          <w:p>
            <w:r>
              <w:rPr>
                <w:b/>
              </w:rPr>
              <w:t>Database Infrastructure</w:t>
            </w:r>
          </w:p>
        </w:tc>
        <w:tc>
          <w:tcPr>
            <w:tcW w:w="4968" w:type="dxa"/>
          </w:tcPr>
          <w:p>
            <w:r>
              <w:t>PostgreSQL + PostGIS for spatial mapping and TimescaleDB for progress logs</w:t>
            </w:r>
          </w:p>
        </w:tc>
      </w:tr>
      <w:tr>
        <w:tblPrEx>
          <w:tblLayout w:type="fixed"/>
          <w:tblCellMar>
            <w:top w:w="0" w:type="dxa"/>
            <w:left w:w="108" w:type="dxa"/>
            <w:bottom w:w="0" w:type="dxa"/>
            <w:right w:w="108" w:type="dxa"/>
          </w:tblCellMar>
        </w:tblPrEx>
        <w:trPr>
          <w:jc w:val="center"/>
        </w:trPr>
        <w:tc>
          <w:tcPr>
            <w:tcW w:w="4968" w:type="dxa"/>
          </w:tcPr>
          <w:p>
            <w:r>
              <w:rPr>
                <w:b/>
              </w:rPr>
              <w:t>Language Support</w:t>
            </w:r>
          </w:p>
        </w:tc>
        <w:tc>
          <w:tcPr>
            <w:tcW w:w="4968" w:type="dxa"/>
          </w:tcPr>
          <w:p>
            <w:r>
              <w:t>Full localization in Tigrinya, Amharic, and English</w:t>
            </w:r>
          </w:p>
        </w:tc>
      </w:tr>
    </w:tbl>
    <w:p/>
    <w:p>
      <w:pPr>
        <w:spacing w:before="280" w:after="80"/>
      </w:pPr>
      <w:r>
        <w:rPr>
          <w:rFonts w:ascii="Calibri" w:hAnsi="Calibri"/>
          <w:b/>
          <w:color w:val="10376C"/>
          <w:sz w:val="32"/>
        </w:rPr>
        <w:t>4. Implementation Plan &amp; Next Steps</w:t>
      </w:r>
    </w:p>
    <w:p>
      <w:pPr>
        <w:pStyle w:val="20"/>
      </w:pPr>
      <w:r>
        <w:rPr>
          <w:b/>
        </w:rPr>
        <w:t xml:space="preserve">Phase 1: Architecture &amp; Dashboard Setup (Weeks 1 - 4) — </w:t>
      </w:r>
      <w:r>
        <w:t>Build Executive Command Dashboard UI and core Database schema; configure offline field recorder app.</w:t>
      </w:r>
    </w:p>
    <w:p>
      <w:pPr>
        <w:pStyle w:val="20"/>
      </w:pPr>
      <w:r>
        <w:rPr>
          <w:b/>
        </w:rPr>
        <w:t xml:space="preserve">Phase 2: Sector Drill-Down &amp; Project Progress Modules (Weeks 5 - 8) — </w:t>
      </w:r>
      <w:r>
        <w:t>Deploy Education, Health, Manufacturing, and Agriculture modules alongside Contractor Progress app.</w:t>
      </w:r>
    </w:p>
    <w:p>
      <w:pPr>
        <w:pStyle w:val="20"/>
      </w:pPr>
      <w:r>
        <w:rPr>
          <w:b/>
        </w:rPr>
        <w:t xml:space="preserve">Phase 3: Federal Linkage &amp; AI Engine Activation (Weeks 9 - 12) — </w:t>
      </w:r>
      <w:r>
        <w:t>Establish secure data linkage to the Federal Prime Minister's Office and train predictive AI models.</w:t>
      </w:r>
    </w:p>
    <w:p>
      <w:pPr>
        <w:pStyle w:val="20"/>
      </w:pPr>
      <w:r>
        <w:rPr>
          <w:b/>
        </w:rPr>
        <w:t xml:space="preserve">Phase 4: Executive Handover (Weeks 13 - 16) — </w:t>
      </w:r>
      <w:r>
        <w:t>Deploy live command dashboard in the Chief Executive's office and conduct staff onboarding.</w:t>
      </w:r>
    </w:p>
    <w:sectPr>
      <w:pgSz w:w="12240" w:h="15840"/>
      <w:pgMar w:top="1152" w:right="1152" w:bottom="1152"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altName w:val="D050000L"/>
    <w:panose1 w:val="00000000000000000000"/>
    <w:charset w:val="02"/>
    <w:family w:val="auto"/>
    <w:pitch w:val="default"/>
    <w:sig w:usb0="00000000" w:usb1="00000000" w:usb2="00000000" w:usb3="00000000" w:csb0="80000000" w:csb1="00000000"/>
  </w:font>
  <w:font w:name="Courier">
    <w:altName w:val="DejaVu Math TeX Gyre"/>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DFAFFF" w:usb1="C240FDFF" w:usb2="4B541B29" w:usb3="0400004B" w:csb0="600101FF" w:csb1="FFFF0000"/>
  </w:font>
  <w:font w:name="DejaVa Sans">
    <w:altName w:val="URW Bookman"/>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D050000L">
    <w:panose1 w:val="01010601010101010101"/>
    <w:charset w:val="00"/>
    <w:family w:val="auto"/>
    <w:pitch w:val="default"/>
    <w:sig w:usb0="00000003"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5"/>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BFCD9D"/>
    <w:rsid w:val="DFEEF5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phillmon</cp:lastModifiedBy>
  <dcterms:modified xsi:type="dcterms:W3CDTF">2026-10-18T11:26:20Z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