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3.28</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nsolas" w:hAnsi="Consolas"/>
          <w:color w:val="C0392B"/>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C0392B"/>
        </w:rPr>
        <w:t>.csv</w:t>
      </w:r>
      <w:r>
        <w:t xml:space="preserve">, </w:t>
      </w:r>
      <w:r>
        <w:rPr>
          <w:rFonts w:ascii="Consolas" w:hAnsi="Consolas"/>
          <w:color w:val="C0392B"/>
        </w:rPr>
        <w:t>.txt</w:t>
      </w:r>
      <w:r>
        <w:t>, or Excel (</w:t>
      </w:r>
      <w:r>
        <w:rPr>
          <w:rFonts w:ascii="Consolas" w:hAnsi="Consolas"/>
          <w:color w:val="C0392B"/>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C0392B"/>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color w:val="C0392B"/>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C0392B"/>
        </w:rPr>
        <w:t>TRF-20260514-0001</w:t>
      </w:r>
      <w:r>
        <w:t>) so you can reference it later.</w:t>
      </w:r>
    </w:p>
    <w:p>
      <w:r>
        <w:br/>
      </w:r>
    </w:p>
    <w:p>
      <w:r>
        <w:rPr>
          <w:b/>
        </w:rPr>
        <w:t>Two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type, or spreadsheet):</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Import CSV / Excel</w:t>
      </w:r>
      <w:r>
        <w:t xml:space="preserve"> — load a spreadsheet of barcodes (the same as before)</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C0392B"/>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C0392B"/>
        </w:rP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C0392B"/>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