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jpg" ContentType="image/jpeg"/>
  <Override PartName="/word/media/rId28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column</w:t>
      </w:r>
      <w:r>
        <w:rPr>
          <w:vertAlign w:val="subscript"/>
        </w:rPr>
        <w:t xml:space="preserve">bc</w:t>
      </w:r>
    </w:p>
    <w:p>
      <w:pPr>
        <w:pStyle w:val="FirstParagraph"/>
      </w:pPr>
      <w:r>
        <w:t xml:space="preserve">~/projects/financial/2023/</w:t>
      </w:r>
    </w:p>
    <w:p>
      <w:pPr>
        <w:pStyle w:val="Heading1"/>
      </w:pPr>
      <w:bookmarkStart w:id="20" w:name="δοκοί-που-επιλέγονται"/>
      <w:r>
        <w:t xml:space="preserve">Δοκοί που επιλέγονται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https://eurocodeapplied.com/design/en1993/ipe-hea-heb-hem-design-properties</w:t>
        </w:r>
      </w:hyperlink>
    </w:p>
    <w:p>
      <w:pPr>
        <w:pStyle w:val="Heading2"/>
      </w:pPr>
      <w:bookmarkStart w:id="22" w:name="με-δοκό-ηεα"/>
      <w:r>
        <w:t xml:space="preserve">Με δοκό ΗΕΑ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HEA100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Depth h [mm]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Width b [mm]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thickness tw [mm]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Flange thickness tf [mm]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m [kg/m]</w:t>
            </w:r>
          </w:p>
        </w:tc>
        <w:tc>
          <w:p>
            <w:pPr>
              <w:pStyle w:val="Compact"/>
              <w:jc w:val="left"/>
            </w:pPr>
            <w:r>
              <w:t xml:space="preserve">16.7</w:t>
            </w:r>
          </w:p>
        </w:tc>
        <w:tc>
          <w:p>
            <w:pPr>
              <w:pStyle w:val="Compact"/>
              <w:jc w:val="left"/>
            </w:pPr>
            <w:r>
              <w:t xml:space="preserve">19.9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 P [m]</w:t>
            </w:r>
          </w:p>
        </w:tc>
        <w:tc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p>
            <w:pPr>
              <w:pStyle w:val="Compact"/>
              <w:jc w:val="left"/>
            </w:pPr>
            <w:r>
              <w:t xml:space="preserve">0.677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A [mm2]</w:t>
            </w:r>
          </w:p>
        </w:tc>
        <w:tc>
          <w:p>
            <w:pPr>
              <w:pStyle w:val="Compact"/>
              <w:jc w:val="left"/>
            </w:pPr>
            <w:r>
              <w:t xml:space="preserve">2124</w:t>
            </w:r>
          </w:p>
        </w:tc>
        <w:tc>
          <w:p>
            <w:pPr>
              <w:pStyle w:val="Compact"/>
              <w:jc w:val="left"/>
            </w:pPr>
            <w:r>
              <w:t xml:space="preserve">2534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Second moment of area Iy</w:t>
            </w:r>
            <w:r>
              <w:t xml:space="preserve"> </w:t>
            </w:r>
            <w:r>
              <w:t xml:space="preserve">[×106 mm</w:t>
            </w:r>
            <w:r>
              <w:rPr>
                <w:vertAlign w:val="superscript"/>
              </w:rPr>
              <w:t xml:space="preserve">4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3.492</w:t>
            </w:r>
          </w:p>
        </w:tc>
        <w:tc>
          <w:p>
            <w:pPr>
              <w:pStyle w:val="Compact"/>
              <w:jc w:val="left"/>
            </w:pPr>
            <w:r>
              <w:t xml:space="preserve">6.062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Elastic section modulus Wel,y [×103 mm</w:t>
            </w:r>
            <w:r>
              <w:rPr>
                <w:vertAlign w:val="superscript"/>
              </w:rPr>
              <w:t xml:space="preserve">3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p>
            <w:pPr>
              <w:pStyle w:val="Compact"/>
              <w:jc w:val="left"/>
            </w:pPr>
            <w:r>
              <w:t xml:space="preserve">106.3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Plastic section modulus Wpl,y [×103 mm</w:t>
            </w:r>
            <w:r>
              <w:rPr>
                <w:vertAlign w:val="superscript"/>
              </w:rPr>
              <w:t xml:space="preserve">3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83.01</w:t>
            </w:r>
          </w:p>
        </w:tc>
        <w:tc>
          <w:p>
            <w:pPr>
              <w:pStyle w:val="Compact"/>
              <w:jc w:val="left"/>
            </w:pPr>
            <w:r>
              <w:t xml:space="preserve">119.5</w:t>
            </w:r>
          </w:p>
        </w:tc>
      </w:tr>
    </w:tbl>
    <w:p>
      <w:pPr>
        <w:pStyle w:val="Heading2"/>
      </w:pPr>
      <w:bookmarkStart w:id="23" w:name="με-δοκο-ipe"/>
      <w:r>
        <w:t xml:space="preserve">Με δοκο IPE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IPE80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IPE100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IPE120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IPE140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IPE160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Depth h [mm]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Width b [mm]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thickness tw [mm]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Flange thickness tf [mm]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 radius r [mm]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m [kg/m]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12.9</w:t>
            </w:r>
          </w:p>
        </w:tc>
        <w:tc>
          <w:p>
            <w:pPr>
              <w:pStyle w:val="Compact"/>
              <w:jc w:val="left"/>
            </w:pPr>
            <w:r>
              <w:t xml:space="preserve">15.8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 P [m]</w:t>
            </w:r>
          </w:p>
        </w:tc>
        <w:tc>
          <w:p>
            <w:pPr>
              <w:pStyle w:val="Compact"/>
              <w:jc w:val="left"/>
            </w:pPr>
            <w:r>
              <w:t xml:space="preserve">0.328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0.475</w:t>
            </w:r>
          </w:p>
        </w:tc>
        <w:tc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p>
            <w:pPr>
              <w:pStyle w:val="Compact"/>
              <w:jc w:val="left"/>
            </w:pPr>
            <w:r>
              <w:t xml:space="preserve">0.623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A [mm2]</w:t>
            </w:r>
          </w:p>
        </w:tc>
        <w:tc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p>
            <w:pPr>
              <w:pStyle w:val="Compact"/>
              <w:jc w:val="left"/>
            </w:pPr>
            <w:r>
              <w:t xml:space="preserve">1321</w:t>
            </w:r>
          </w:p>
        </w:tc>
        <w:tc>
          <w:p>
            <w:pPr>
              <w:pStyle w:val="Compact"/>
              <w:jc w:val="left"/>
            </w:pPr>
            <w:r>
              <w:t xml:space="preserve">1643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Shear area z-z Av,z [mm2] (for η=1.2)</w:t>
            </w:r>
          </w:p>
        </w:tc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p>
            <w:pPr>
              <w:pStyle w:val="Compact"/>
              <w:jc w:val="left"/>
            </w:pPr>
            <w:r>
              <w:t xml:space="preserve">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Shear area y-y Av,y [mm2]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806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1214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 moment of area Iy [×106 mm4]</w:t>
            </w:r>
          </w:p>
        </w:tc>
        <w:tc>
          <w:p>
            <w:pPr>
              <w:pStyle w:val="Compact"/>
              <w:jc w:val="left"/>
            </w:pPr>
            <w:r>
              <w:t xml:space="preserve">0.8014</w:t>
            </w:r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3.178</w:t>
            </w:r>
          </w:p>
        </w:tc>
        <w:tc>
          <w:p>
            <w:pPr>
              <w:pStyle w:val="Compact"/>
              <w:jc w:val="left"/>
            </w:pPr>
            <w:r>
              <w:t xml:space="preserve">5.412</w:t>
            </w:r>
          </w:p>
        </w:tc>
        <w:tc>
          <w:p>
            <w:pPr>
              <w:pStyle w:val="Compact"/>
              <w:jc w:val="left"/>
            </w:pPr>
            <w:r>
              <w:t xml:space="preserve">8.693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 of gyration iy [mm]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left"/>
            </w:pPr>
            <w:r>
              <w:t xml:space="preserve">40.7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57.4</w:t>
            </w:r>
          </w:p>
        </w:tc>
        <w:tc>
          <w:p>
            <w:pPr>
              <w:pStyle w:val="Compact"/>
              <w:jc w:val="left"/>
            </w:pPr>
            <w:r>
              <w:t xml:space="preserve">65.8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Elastic section modulus Wel,y [×103 mm3]</w:t>
            </w:r>
          </w:p>
        </w:tc>
        <w:tc>
          <w:p>
            <w:pPr>
              <w:pStyle w:val="Compact"/>
              <w:jc w:val="left"/>
            </w:pPr>
            <w:r>
              <w:t xml:space="preserve">20.03</w:t>
            </w:r>
          </w:p>
        </w:tc>
        <w:tc>
          <w:p>
            <w:pPr>
              <w:pStyle w:val="Compact"/>
              <w:jc w:val="left"/>
            </w:pPr>
            <w:r>
              <w:t xml:space="preserve">34.2</w:t>
            </w:r>
          </w:p>
        </w:tc>
        <w:tc>
          <w:p>
            <w:pPr>
              <w:pStyle w:val="Compact"/>
              <w:jc w:val="left"/>
            </w:pPr>
            <w:r>
              <w:t xml:space="preserve">52.96</w:t>
            </w:r>
          </w:p>
        </w:tc>
        <w:tc>
          <w:p>
            <w:pPr>
              <w:pStyle w:val="Compact"/>
              <w:jc w:val="left"/>
            </w:pPr>
            <w:r>
              <w:t xml:space="preserve">77.32</w:t>
            </w:r>
          </w:p>
        </w:tc>
        <w:tc>
          <w:p>
            <w:pPr>
              <w:pStyle w:val="Compact"/>
              <w:jc w:val="left"/>
            </w:pPr>
            <w:r>
              <w:t xml:space="preserve">108.7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Plastic section modulus Wpl,y [×103 mm3]</w:t>
            </w:r>
          </w:p>
        </w:tc>
        <w:tc>
          <w:p>
            <w:pPr>
              <w:pStyle w:val="Compact"/>
              <w:jc w:val="left"/>
            </w:pPr>
            <w:r>
              <w:t xml:space="preserve">23.22</w:t>
            </w:r>
          </w:p>
        </w:tc>
        <w:tc>
          <w:p>
            <w:pPr>
              <w:pStyle w:val="Compact"/>
              <w:jc w:val="left"/>
            </w:pPr>
            <w:r>
              <w:t xml:space="preserve">39.41</w:t>
            </w:r>
          </w:p>
        </w:tc>
        <w:tc>
          <w:p>
            <w:pPr>
              <w:pStyle w:val="Compact"/>
              <w:jc w:val="left"/>
            </w:pPr>
            <w:r>
              <w:t xml:space="preserve">60.73</w:t>
            </w:r>
          </w:p>
        </w:tc>
        <w:tc>
          <w:p>
            <w:pPr>
              <w:pStyle w:val="Compact"/>
              <w:jc w:val="left"/>
            </w:pPr>
            <w:r>
              <w:t xml:space="preserve">88.34</w:t>
            </w:r>
          </w:p>
        </w:tc>
        <w:tc>
          <w:p>
            <w:pPr>
              <w:pStyle w:val="Compact"/>
              <w:jc w:val="left"/>
            </w:pPr>
            <w:r>
              <w:t xml:space="preserve">123.9</w:t>
            </w:r>
          </w:p>
        </w:tc>
      </w:tr>
    </w:tbl>
    <w:p>
      <w:pPr>
        <w:pStyle w:val="Heading1"/>
      </w:pPr>
      <w:bookmarkStart w:id="24" w:name="υπολογισμός-ραβδου-bc"/>
      <w:r>
        <w:t xml:space="preserve">Υπολογισμός ραβδου (BC)</w:t>
      </w:r>
      <w:bookmarkEnd w:id="24"/>
    </w:p>
    <w:p>
      <w:pPr>
        <w:pStyle w:val="FirstParagraph"/>
      </w:pPr>
      <w:r>
        <w:t xml:space="preserve">Η δοκός καταπονείται (AC) σε θλίψη.</w:t>
      </w:r>
    </w:p>
    <w:p>
      <w:pPr>
        <w:pStyle w:val="BodyText"/>
      </w:pPr>
      <w:r>
        <w:t xml:space="preserve">Οι εξισώσεις της αξονικής φόρτισης είναι: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ϵ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>
                <m:t>E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×</m:t>
              </m:r>
              <m:r>
                <m:t>l</m:t>
              </m:r>
            </m:num>
            <m:den>
              <m:r>
                <m:t>A</m:t>
              </m:r>
              <m:r>
                <m:t>×</m:t>
              </m:r>
              <m:r>
                <m:t>E</m:t>
              </m:r>
            </m:den>
          </m:f>
        </m:oMath>
      </m:oMathPara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Μήκος ράβδου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kΝ</w:t>
            </w:r>
          </w:p>
        </w:tc>
        <w:tc>
          <w:p>
            <w:pPr>
              <w:pStyle w:val="Compact"/>
              <w:jc w:val="left"/>
            </w:pPr>
            <w:r>
              <w:t xml:space="preserve">εφελκυσμός στη ραβδο (ΒC)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Τάση διαρροής (0.2%) :</w:t>
            </w:r>
          </w:p>
        </w:tc>
        <w:tc>
          <w:p>
            <w:pPr>
              <w:pStyle w:val="Compact"/>
              <w:jc w:val="left"/>
            </w:pPr>
            <w:r>
              <w:t xml:space="preserve">σ</w:t>
            </w:r>
          </w:p>
        </w:tc>
        <w:tc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MPa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Επιφάνεια δοκού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t>=</m:t>
              </m:r>
              <m:r>
                <m:t>P</m:t>
              </m:r>
              <m:r>
                <m:t>/</m:t>
              </m:r>
              <m:r>
                <m:t>σ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1.2432432e-4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  <w:r>
              <w:rPr>
                <w:vertAlign w:val="superscript"/>
              </w:rP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  <w:r>
              <w:rPr>
                <w:vertAlign w:val="superscript"/>
              </w:rP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ενταση:</w:t>
            </w:r>
          </w:p>
        </w:tc>
        <w:tc>
          <w:p>
            <w:pPr>
              <w:pStyle w:val="Compact"/>
              <w:jc w:val="left"/>
            </w:pPr>
            <m:oMath>
              <m:r>
                <m:t>ε</m:t>
              </m:r>
              <m:r>
                <m:t>=</m:t>
              </m:r>
              <m:r>
                <m:t>σ</m:t>
              </m:r>
              <m:r>
                <m:t>/</m:t>
              </m:r>
              <m:r>
                <m:t>Ε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1.85e-3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Μετατόπιση: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/>
        </w:tc>
      </w:tr>
    </w:tbl>
    <w:p>
      <w:pPr>
        <w:pStyle w:val="BodyText"/>
      </w:pPr>
      <w:r>
        <w:t xml:space="preserve">Επομένως στο όριο της δύναμης και τάση διαρροής, η ράβδος πρέπει να έχει επιφάνεια:</w:t>
      </w:r>
      <w:r>
        <w:t xml:space="preserve"> </w:t>
      </w:r>
      <m:oMath>
        <m:r>
          <m:t>Α</m:t>
        </m:r>
        <m:r>
          <m:t>:</m:t>
        </m:r>
        <m:r>
          <m:t>1.24</m:t>
        </m:r>
        <m:r>
          <m:t>×</m:t>
        </m:r>
        <m:sSup>
          <m:e>
            <m:r>
              <m:t>10</m:t>
            </m:r>
          </m:e>
          <m:sup>
            <m:r>
              <m:t>(</m:t>
            </m:r>
            <m:r>
              <m:t>−</m:t>
            </m:r>
            <m:r>
              <m:t>4</m:t>
            </m:r>
            <m:r>
              <m:t>)</m:t>
            </m:r>
          </m:sup>
        </m:sSup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Heading1"/>
      </w:pPr>
      <w:bookmarkStart w:id="25" w:name="υπολογισμός-σε-λυγισμό"/>
      <w:r>
        <w:t xml:space="preserve">Υπολογισμός σε λυγισμό</w:t>
      </w:r>
      <w:bookmarkEnd w:id="25"/>
    </w:p>
    <w:p>
      <w:pPr>
        <w:pStyle w:val="FirstParagraph"/>
      </w:pPr>
      <w:r>
        <w:t xml:space="preserve">Η ράβδος καταπονείται σε θλίψη, και εξετάζεται και ως προς την αντοχή της σε λυγισμό.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r>
            <m:t>K</m:t>
          </m:r>
          <m:r>
            <m:t>1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*</m:t>
              </m:r>
              <m:sSub>
                <m:e>
                  <m:r>
                    <m:t>Ε</m:t>
                  </m:r>
                </m:e>
                <m:sub>
                  <m:r>
                    <m:t>1</m:t>
                  </m:r>
                </m:sub>
              </m:sSub>
              <m:r>
                <m:t>*</m:t>
              </m:r>
              <m:sSub>
                <m:e>
                  <m:r>
                    <m:t>Ι</m:t>
                  </m:r>
                </m:e>
                <m:sub>
                  <m:r>
                    <m:t>1</m:t>
                  </m:r>
                </m:sub>
              </m:sSub>
            </m:num>
            <m:den>
              <m:sSup>
                <m:e>
                  <m:r>
                    <m:t>l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Από τον πίνακα 15.1 περίπτωση 1c</w:t>
      </w:r>
    </w:p>
    <w:p>
      <w:pPr>
        <w:pStyle w:val="BodyText"/>
      </w:pPr>
      <w:r>
        <w:drawing>
          <wp:inline>
            <wp:extent cx="4962144" cy="1402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abl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44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K</w:t>
            </w:r>
            <w:r>
              <w:rPr>
                <w:vertAlign w:val="subscript"/>
              </w:rP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k1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200*10</w:t>
            </w:r>
            <w:r>
              <w:rPr>
                <w:vertAlign w:val="superscript"/>
              </w:rP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p>
            <w:pPr>
              <w:pStyle w:val="Compact"/>
              <w:jc w:val="left"/>
            </w:pPr>
            <w:r>
              <w:t xml:space="preserve">0.669*10</w:t>
            </w:r>
            <w:r>
              <w:rPr>
                <w:vertAlign w:val="superscript"/>
              </w:rPr>
              <w:t xml:space="preserve">-8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1466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>
      <w:pPr>
        <w:pStyle w:val="Heading1"/>
      </w:pPr>
      <w:bookmarkStart w:id="27" w:name="απαιτούμενη-αδράνεια-για-λυγισμό"/>
      <w:r>
        <w:t xml:space="preserve">Απαιτούμενη αδράνεια για λυγισμό</w:t>
      </w:r>
      <w:bookmarkEnd w:id="27"/>
    </w:p>
    <w:p>
      <w:pPr>
        <w:pStyle w:val="FirstParagraph"/>
      </w:pPr>
      <w:r>
        <w:drawing>
          <wp:inline>
            <wp:extent cx="914400" cy="91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abl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K</w:t>
            </w:r>
            <w:r>
              <w:rPr>
                <w:vertAlign w:val="subscript"/>
              </w:rP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K1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200*10</w:t>
            </w:r>
            <w:r>
              <w:rPr>
                <w:vertAlign w:val="superscript"/>
              </w:rP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46000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(P*l</w:t>
            </w:r>
            <w:r>
              <w:rPr>
                <w:vertAlign w:val="superscript"/>
              </w:rPr>
              <w:t xml:space="preserve">2</w:t>
            </w:r>
            <w:r>
              <w:t xml:space="preserve">)/(pi</w:t>
            </w:r>
            <w:r>
              <w:rPr>
                <w:vertAlign w:val="superscript"/>
              </w:rPr>
              <w:t xml:space="preserve">2</w:t>
            </w:r>
            <w:r>
              <w:t xml:space="preserve">*E1*K1)</w:t>
            </w:r>
          </w:p>
        </w:tc>
        <w:tc>
          <w:p>
            <w:pPr>
              <w:pStyle w:val="Compact"/>
              <w:jc w:val="left"/>
            </w:pPr>
            <w:r>
              <w:t xml:space="preserve">4.1989533e-7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  <w:r>
              <w:rPr>
                <w:vertAlign w:val="superscript"/>
              </w:rP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41.989533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  <w:r>
              <w:rPr>
                <w:vertAlign w:val="superscript"/>
              </w:rPr>
              <w:t xml:space="preserve">4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0.41989533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rPr>
                <w:vertAlign w:val="superscript"/>
              </w:rPr>
              <w:t xml:space="preserve">6</w:t>
            </w:r>
            <w:r>
              <w:t xml:space="preserve"> </w:t>
            </w:r>
            <w:r>
              <w:t xml:space="preserve">mm</w:t>
            </w:r>
            <w:r>
              <w:rPr>
                <w:vertAlign w:val="superscript"/>
              </w:rPr>
              <w:t xml:space="preserve">4</w:t>
            </w:r>
          </w:p>
        </w:tc>
        <w:tc>
          <w:p/>
        </w:tc>
      </w:tr>
    </w:tbl>
    <w:p>
      <w:pPr>
        <w:pStyle w:val="BodyText"/>
      </w:pPr>
      <w:r>
        <w:t xml:space="preserve">Ο συντελεστής Κ1 εξαρτάται από το είδος της φόρτισης και θεωρείται δυσμενέστερη περίπτωση</w:t>
      </w:r>
      <w:r>
        <w:t xml:space="preserve"> </w:t>
      </w:r>
      <m:oMath>
        <m:r>
          <m:t>Κ</m:t>
        </m:r>
        <m:r>
          <m:t>1</m:t>
        </m:r>
        <m:r>
          <m:t>=</m:t>
        </m:r>
        <m:r>
          <m:t>0.507</m:t>
        </m:r>
      </m:oMath>
      <w:r>
        <w:t xml:space="preserve"> </w:t>
      </w:r>
      <w:r>
        <w:t xml:space="preserve">για ενδιάμεσο φορτίο.</w:t>
      </w:r>
    </w:p>
    <w:p>
      <w:pPr>
        <w:pStyle w:val="BodyText"/>
      </w:pPr>
      <w:r>
        <w:t xml:space="preserve">Καλπύπτουν μια από τις ακόλουθες:</w:t>
      </w:r>
    </w:p>
    <w:p>
      <w:pPr>
        <w:numPr>
          <w:ilvl w:val="0"/>
          <w:numId w:val="1001"/>
        </w:numPr>
        <w:pStyle w:val="Compact"/>
      </w:pPr>
      <w:r>
        <w:t xml:space="preserve">IPN80</w:t>
      </w:r>
    </w:p>
    <w:p>
      <w:pPr>
        <w:numPr>
          <w:ilvl w:val="0"/>
          <w:numId w:val="1001"/>
        </w:numPr>
        <w:pStyle w:val="Compact"/>
      </w:pPr>
      <w:r>
        <w:t xml:space="preserve">HEA100</w:t>
      </w:r>
    </w:p>
    <w:p>
      <w:pPr>
        <w:pStyle w:val="Heading1"/>
      </w:pPr>
      <w:bookmarkStart w:id="29" w:name="υπολογισμός-σε-κάμψη"/>
      <w:r>
        <w:t xml:space="preserve">Υπολογισμός σε κάμψη</w:t>
      </w:r>
      <w:bookmarkEnd w:id="29"/>
    </w:p>
    <w:p>
      <w:pPr>
        <w:pStyle w:val="FirstParagraph"/>
      </w:pPr>
      <w:r>
        <w:t xml:space="preserve">Η οριζόντια ράβδος υπολογιζεται και ως προς την αντοχή της σε κάμψη, λόγω της οριζόντιας κίνησης του κάθετου φορτίου σε ενδιάμεσες θέσεις.</w:t>
      </w:r>
    </w:p>
    <w:p>
      <w:pPr>
        <w:pStyle w:val="BodyText"/>
      </w:pPr>
      <w:r>
        <w:t xml:space="preserve">Η τάση είναι: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×</m:t>
              </m:r>
              <m:r>
                <m:t>c</m:t>
              </m:r>
            </m:num>
            <m:den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Ο συντελεστής αξονικού φορτίου σε θλίψη είναι: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sSup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E</m:t>
                  </m:r>
                  <m:r>
                    <m:t>×</m:t>
                  </m:r>
                  <m:r>
                    <m:t>I</m:t>
                  </m:r>
                </m:den>
              </m:f>
            </m:e>
            <m:sup>
              <m:r>
                <m:t>0.5</m:t>
              </m:r>
            </m:sup>
          </m:sSup>
        </m:oMath>
      </m:oMathPara>
    </w:p>
    <w:p>
      <w:pPr>
        <w:pStyle w:val="FirstParagraph"/>
      </w:pPr>
      <w:r>
        <w:drawing>
          <wp:inline>
            <wp:extent cx="5334000" cy="1192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able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Tο κρίσιμο σημείο αντοχής είναι κάμψη οταν η θέση του φορτίου ανύψωσης είναι στη μέση των δύο στηρίξεων (Α), (C).</w:t>
      </w:r>
    </w:p>
    <w:p>
      <w:pPr>
        <w:pStyle w:val="BodyText"/>
      </w:pPr>
      <w:r>
        <w:t xml:space="preserve">Επίσης η ροπή κάμψης μειώνεται με το μήκος της ανοίγματος (AC)</w:t>
      </w:r>
    </w:p>
    <w:p>
      <w:pPr>
        <w:pStyle w:val="BodyText"/>
      </w:pPr>
      <w:r>
        <w:t xml:space="preserve">Λυνουμε το σύστημα των εξισώσεων</w:t>
      </w:r>
    </w:p>
    <w:bookmarkStart w:id="31" w:name="k_calculate"/>
    <w:p>
      <w:pPr>
        <w:pStyle w:val="SourceCode"/>
      </w:pPr>
      <w:r>
        <w:rPr>
          <w:rStyle w:val="VariableTok"/>
        </w:rPr>
        <w:t xml:space="preserve">fpprintprec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$</w:t>
      </w:r>
      <w:r>
        <w:br/>
      </w:r>
      <w:r>
        <w:br/>
      </w:r>
      <w:r>
        <w:rPr>
          <w:rStyle w:val="ConstantTok"/>
        </w:rPr>
        <w:t xml:space="preserve">eq1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= (</w:t>
      </w:r>
      <w:r>
        <w:rPr>
          <w:rStyle w:val="ConstantTok"/>
        </w:rPr>
        <w:t xml:space="preserve">W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k</w:t>
      </w:r>
      <w:r>
        <w:rPr>
          <w:rStyle w:val="NormalTok"/>
        </w:rPr>
        <w:t xml:space="preserve">)) *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k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)$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eq1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eq2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k</w:t>
      </w:r>
      <w:r>
        <w:rPr>
          <w:rStyle w:val="NormalTok"/>
        </w:rPr>
        <w:t xml:space="preserve">=(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/(</w:t>
      </w:r>
      <w:r>
        <w:rPr>
          <w:rStyle w:val="ConstantTok"/>
        </w:rPr>
        <w:t xml:space="preserve">E1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I1</w:t>
      </w:r>
      <w:r>
        <w:rPr>
          <w:rStyle w:val="NormalTok"/>
        </w:rPr>
        <w:t xml:space="preserve">))^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eq2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eq3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= (</w:t>
      </w:r>
      <w:r>
        <w:rPr>
          <w:rStyle w:val="ConstantTok"/>
        </w:rPr>
        <w:t xml:space="preserve">W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k</w:t>
      </w:r>
      <w:r>
        <w:rPr>
          <w:rStyle w:val="NormalTok"/>
        </w:rPr>
        <w:t xml:space="preserve">)) *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k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eq3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eq4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 =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*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 /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eq4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P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46000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E1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W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27140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M_max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c</w:t>
      </w:r>
      <w:r>
        <w:rPr>
          <w:rStyle w:val="NormalTok"/>
        </w:rPr>
        <w:t xml:space="preserve">:</w:t>
      </w:r>
      <w:r>
        <w:rPr>
          <w:rStyle w:val="FloatTok"/>
        </w:rPr>
        <w:t xml:space="preserve">80e-3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I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I1</w:t>
      </w:r>
      <w:r>
        <w:rPr>
          <w:rStyle w:val="NormalTok"/>
        </w:rPr>
        <w:t xml:space="preserve">;</w:t>
      </w:r>
    </w:p>
    <w:bookmarkEnd w:id="31"/>
    <w:p>
      <w:pPr>
        <w:pStyle w:val="FirstParagraph"/>
      </w:pPr>
      <w:r>
        <w:t xml:space="preserve">3000 2.1E+12</w:t>
      </w:r>
    </w:p>
    <w:p>
      <w:pPr>
        <w:pStyle w:val="BodyText"/>
      </w:pPr>
      <w:r>
        <w:t xml:space="preserve">0.08 M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>
            <m:t>−</m:t>
          </m:r>
          <m:r>
            <m:t>−</m:t>
          </m:r>
          <m:r>
            <m:t>−</m:t>
          </m:r>
          <m:r>
            <m:t>−</m:t>
          </m:r>
          <m:r>
            <m:t>−</m:t>
          </m:r>
          <m:r>
            <m:t>−</m:t>
          </m:r>
          <m:r>
            <m:t>N</m:t>
          </m:r>
          <m:r>
            <m:t>/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I1</w:t>
      </w:r>
    </w:p>
    <w:p>
      <w:pPr>
        <w:pStyle w:val="BodyText"/>
      </w:pPr>
      <w:r>
        <w:t xml:space="preserve">O αριθμητικός υπολογισμός δίνεται στο συνημμένο αρχείο:</w:t>
      </w:r>
      <w:r>
        <w:t xml:space="preserve"> </w:t>
      </w:r>
      <w:hyperlink r:id="rId32">
        <w:r>
          <w:rPr>
            <w:rStyle w:val="Hyperlink"/>
          </w:rPr>
          <w:t xml:space="preserve">./maxima/column_ac.mac</w:t>
        </w:r>
      </w:hyperlink>
    </w:p>
    <w:p>
      <w:pPr>
        <w:pStyle w:val="BodyText"/>
      </w:pPr>
      <w:r>
        <w:t xml:space="preserve">Με δοκιμές για τις δοκούς είναι: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[x10</w:t>
            </w:r>
            <w:r>
              <w:rPr>
                <w:vertAlign w:val="superscript"/>
              </w:rPr>
              <w:t xml:space="preserve">6</w:t>
            </w:r>
            <w:r>
              <w:t xml:space="preserve"> </w:t>
            </w:r>
            <w:r>
              <w:t xml:space="preserve">mm</w:t>
            </w:r>
            <w:r>
              <w:rPr>
                <w:vertAlign w:val="superscript"/>
              </w:rPr>
              <w:t xml:space="preserve">4</w:t>
            </w:r>
            <w:r>
              <w:t xml:space="preserve">}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Οριζόντια απόσταση l [mm]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σ [ΜPa]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IPE80</w:t>
            </w:r>
          </w:p>
        </w:tc>
        <w:tc>
          <w:p>
            <w:pPr>
              <w:pStyle w:val="Compact"/>
              <w:jc w:val="left"/>
            </w:pPr>
            <w:r>
              <w:t xml:space="preserve">0.8014</w:t>
            </w:r>
          </w:p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3859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1589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IPE100</w:t>
            </w:r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1839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732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IPE120</w:t>
            </w:r>
          </w:p>
        </w:tc>
        <w:tc>
          <w:p>
            <w:pPr>
              <w:pStyle w:val="Compact"/>
              <w:jc w:val="left"/>
            </w:pPr>
            <w:r>
              <w:t xml:space="preserve">3.178</w:t>
            </w:r>
          </w:p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794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IPE140</w:t>
            </w:r>
          </w:p>
        </w:tc>
        <w:tc>
          <w:p>
            <w:pPr>
              <w:pStyle w:val="Compact"/>
              <w:jc w:val="left"/>
            </w:pPr>
            <w:r>
              <w:t xml:space="preserve">5.412</w:t>
            </w:r>
          </w:p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2600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2500</w:t>
            </w:r>
          </w:p>
        </w:tc>
        <w:tc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2400</w:t>
            </w:r>
          </w:p>
        </w:tc>
        <w:tc>
          <w:p>
            <w:pPr>
              <w:pStyle w:val="Compact"/>
              <w:jc w:val="left"/>
            </w:pPr>
            <w:r>
              <w:t xml:space="preserve">368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/>
        </w:tc>
      </w:tr>
    </w:tbl>
    <w:p>
      <w:pPr>
        <w:pStyle w:val="BodyText"/>
      </w:pPr>
      <w:r>
        <w:t xml:space="preserve">Το όριο διαρροής του σιδήρου είναι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g</m:t>
          </m:r>
          <m:r>
            <m:t>m</m:t>
          </m:r>
          <m:r>
            <m:t>a</m:t>
          </m:r>
          <m:r>
            <m:t>=</m:t>
          </m:r>
          <m:r>
            <m:t>370</m:t>
          </m:r>
          <m:r>
            <m:t>M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και επιλέγεται δοκός IPE140.</w:t>
      </w:r>
    </w:p>
    <w:p>
      <w:pPr>
        <w:pStyle w:val="BodyText"/>
      </w:pPr>
      <w:r>
        <w:t xml:space="preserve">To σημείο (C) μετατοπίζεται αριστερά.</w:t>
      </w:r>
    </w:p>
    <w:p>
      <w:pPr>
        <w:pStyle w:val="Heading1"/>
      </w:pPr>
      <w:bookmarkStart w:id="33" w:name="υπολογισμός-θέσης-σημείου-c"/>
      <w:r>
        <w:t xml:space="preserve">Υπολογισμός θέσης σημείου C</w:t>
      </w:r>
      <w:bookmarkEnd w:id="33"/>
    </w:p>
    <w:p>
      <w:pPr>
        <w:pStyle w:val="FirstParagraph"/>
      </w:pPr>
      <w:r>
        <w:drawing>
          <wp:inline>
            <wp:extent cx="5029200" cy="844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able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Με μετακίνηση του σημείου (C) δημιουργείται ένας προβολος όταν ο γερανός μετακινείται στο πιο δεξιο σημείο.</w:t>
      </w:r>
    </w:p>
    <w:p>
      <w:pPr>
        <w:pStyle w:val="BodyText"/>
      </w:pPr>
      <w:r>
        <w:t xml:space="preserve">Η ροπή είναι: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=</m:t>
          </m:r>
          <m:r>
            <m:t>−</m:t>
          </m:r>
          <m:r>
            <m:t>W</m:t>
          </m:r>
          <m:r>
            <m:t>×</m:t>
          </m:r>
          <m:r>
            <m:t>l</m:t>
          </m:r>
        </m:oMath>
      </m:oMathPara>
    </w:p>
    <w:p>
      <w:pPr>
        <w:pStyle w:val="FirstParagraph"/>
      </w:pPr>
      <w:r>
        <w:t xml:space="preserve">Ο πινακας υπολογισμού γίνεται: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[x10</w:t>
            </w:r>
            <w:r>
              <w:rPr>
                <w:vertAlign w:val="superscript"/>
              </w:rPr>
              <w:t xml:space="preserve">6</w:t>
            </w:r>
            <w:r>
              <w:t xml:space="preserve"> </w:t>
            </w:r>
            <w:r>
              <w:t xml:space="preserve">mm</w:t>
            </w:r>
            <w:r>
              <w:rPr>
                <w:vertAlign w:val="superscript"/>
              </w:rPr>
              <w:t xml:space="preserve">4</w:t>
            </w:r>
            <w:r>
              <w:t xml:space="preserve">}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Οριζόντια προβολή l2=3000-l [mm]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σ [ΜPa]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IPE140</w:t>
            </w:r>
          </w:p>
        </w:tc>
        <w:tc>
          <w:p>
            <w:pPr>
              <w:pStyle w:val="Compact"/>
              <w:jc w:val="left"/>
            </w:pPr>
            <w:r>
              <w:t xml:space="preserve">5.412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1400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702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/>
        </w:tc>
      </w:tr>
    </w:tbl>
    <w:bookmarkStart w:id="35" w:name="k_calculate_out"/>
    <w:p>
      <w:pPr>
        <w:pStyle w:val="SourceCode"/>
      </w:pPr>
      <w:r>
        <w:rPr>
          <w:rStyle w:val="VariableTok"/>
        </w:rPr>
        <w:t xml:space="preserve">fpprintprec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l2</w:t>
      </w:r>
      <w:r>
        <w:rPr>
          <w:rStyle w:val="NormalTok"/>
        </w:rPr>
        <w:t xml:space="preserve">: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W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27140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M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W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l2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C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0.140</w:t>
      </w:r>
      <w:r>
        <w:rPr>
          <w:rStyle w:val="NormalTok"/>
        </w:rPr>
        <w:t xml:space="preserve">;</w:t>
      </w:r>
      <w:r>
        <w:br/>
      </w:r>
      <w:r>
        <w:rPr>
          <w:rStyle w:val="ConstantTok"/>
        </w:rPr>
        <w:t xml:space="preserve">I</w:t>
      </w:r>
      <w:r>
        <w:rPr>
          <w:rStyle w:val="NormalTok"/>
        </w:rPr>
        <w:t xml:space="preserve">:</w:t>
      </w:r>
      <w:r>
        <w:rPr>
          <w:rStyle w:val="FloatTok"/>
        </w:rPr>
        <w:t xml:space="preserve">5.412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);</w:t>
      </w:r>
      <w:r>
        <w:br/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 :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*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 /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"l="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l2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"sigma="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);</w:t>
      </w:r>
    </w:p>
    <w:bookmarkEnd w:id="35"/>
    <w:p>
      <w:pPr>
        <w:pStyle w:val="FirstParagraph"/>
      </w:pPr>
      <w:r>
        <w:t xml:space="preserve">Επομένως επιλέγουμε οριζόντια προβολή εξωτερικά του (C) 500mm.</w:t>
      </w:r>
    </w:p>
    <w:bookmarkStart w:id="36" w:name="stability_ac"/>
    <w:p>
      <w:pPr>
        <w:pStyle w:val="SourceCode"/>
      </w:pPr>
      <w:r>
        <w:rPr>
          <w:rStyle w:val="VariableTok"/>
        </w:rPr>
        <w:t xml:space="preserve">fpprintprec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$</w:t>
      </w:r>
      <w:r>
        <w:br/>
      </w:r>
      <w:r>
        <w:br/>
      </w:r>
      <w:r>
        <w:rPr>
          <w:rStyle w:val="ConstantTok"/>
        </w:rPr>
        <w:t xml:space="preserve">eq1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=</w:t>
      </w:r>
      <w:r>
        <w:rPr>
          <w:rStyle w:val="ConstantTok"/>
        </w:rPr>
        <w:t xml:space="preserve">K1</w:t>
      </w:r>
      <w:r>
        <w:rPr>
          <w:rStyle w:val="NormalTok"/>
        </w:rPr>
        <w:t xml:space="preserve">*</w:t>
      </w:r>
      <w:r>
        <w:rPr>
          <w:rStyle w:val="VariableTok"/>
        </w:rPr>
        <w:t xml:space="preserve">%pi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E1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I1</w:t>
      </w:r>
      <w:r>
        <w:rPr>
          <w:rStyle w:val="NormalTok"/>
        </w:rPr>
        <w:t xml:space="preserve">/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eq2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eq2</w:t>
      </w:r>
      <w:r>
        <w:rPr>
          <w:rStyle w:val="NormalTok"/>
        </w:rPr>
        <w:t xml:space="preserve">));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eq2</w:t>
      </w:r>
      <w:r>
        <w:rPr>
          <w:rStyle w:val="NormalTok"/>
        </w:rPr>
        <w:t xml:space="preserve">);</w:t>
      </w:r>
    </w:p>
    <w:bookmarkEnd w:id="36"/>
    <w:p>
      <w:pPr>
        <w:pStyle w:val="FirstParagraph"/>
      </w:pPr>
      <w:r>
        <w:t xml:space="preserve">false</w:t>
      </w:r>
      <w:r>
        <w:t xml:space="preserve"> </w:t>
      </w:r>
      <w:r>
        <w:t xml:space="preserve">2</w:t>
      </w:r>
      <w:r>
        <w:t xml:space="preserve"> </w:t>
      </w:r>
      <w:r>
        <w:t xml:space="preserve">P l</w:t>
      </w:r>
      <w:r>
        <w:t xml:space="preserve"> </w:t>
      </w:r>
      <w:r>
        <w:t xml:space="preserve">[I1 = ———-]</w:t>
      </w:r>
      <w:r>
        <w:t xml:space="preserve"> </w:t>
      </w:r>
      <w:r>
        <w:t xml:space="preserve">2</w:t>
      </w:r>
      <w:r>
        <w:t xml:space="preserve"> </w:t>
      </w:r>
      <w:r>
        <w:t xml:space="preserve">%pi E1 K1</w:t>
      </w:r>
    </w:p>
    <w:p>
      <w:pPr>
        <w:pStyle w:val="Heading2"/>
      </w:pPr>
      <w:bookmarkStart w:id="37" w:name="επιλογή-ράβδου"/>
      <w:r>
        <w:t xml:space="preserve">Επιλογή ράβδου</w:t>
      </w:r>
      <w:bookmarkEnd w:id="37"/>
    </w:p>
    <w:p>
      <w:pPr>
        <w:pStyle w:val="FirstParagraph"/>
      </w:pPr>
      <w:r>
        <w:t xml:space="preserve">Η ράβδος (ΒC) επιλέγεται από τον πίνακα</w:t>
      </w:r>
      <w:r>
        <w:t xml:space="preserve"> </w:t>
      </w:r>
      <w:hyperlink r:id="rId38">
        <w:r>
          <w:rPr>
            <w:rStyle w:val="Hyperlink"/>
          </w:rPr>
          <w:t xml:space="preserve">https://www.nspc.nipponsteel.com/en/products/building_kenchiku.html</w:t>
        </w:r>
      </w:hyperlink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Εξωτερική διάμετρος</w:t>
            </w:r>
          </w:p>
        </w:tc>
        <w:tc>
          <w:p>
            <w:pPr>
              <w:pStyle w:val="Compact"/>
              <w:jc w:val="left"/>
            </w:pPr>
            <w:r>
              <w:t xml:space="preserve">Παχος [t]</w:t>
            </w:r>
          </w:p>
        </w:tc>
        <w:tc>
          <w:p>
            <w:pPr>
              <w:pStyle w:val="Compact"/>
              <w:jc w:val="left"/>
            </w:pPr>
            <w:r>
              <w:t xml:space="preserve">μαζα [m]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 [Α]</w:t>
            </w:r>
          </w:p>
        </w:tc>
        <w:tc>
          <w:p>
            <w:pPr>
              <w:pStyle w:val="Compact"/>
              <w:jc w:val="left"/>
            </w:pPr>
            <w:r>
              <w:t xml:space="preserve">Ροπή αδράνειας [I]</w:t>
            </w:r>
          </w:p>
        </w:tc>
        <w:tc>
          <w:p>
            <w:pPr>
              <w:pStyle w:val="Compact"/>
              <w:jc w:val="left"/>
            </w:pPr>
            <w:r>
              <w:t xml:space="preserve">Section modulus</w:t>
            </w:r>
          </w:p>
        </w:tc>
        <w:tc>
          <w:p>
            <w:pPr>
              <w:pStyle w:val="Compact"/>
              <w:jc w:val="left"/>
            </w:pPr>
            <w:r>
              <w:t xml:space="preserve">Radius of gyration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Kg/m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  <w:r>
              <w:rPr>
                <w:vertAlign w:val="superscript"/>
              </w:rP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  <w:r>
              <w:rPr>
                <w:vertAlign w:val="superscript"/>
              </w:rP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1.402</w:t>
            </w:r>
          </w:p>
        </w:tc>
        <w:tc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0.616</w:t>
            </w:r>
          </w:p>
        </w:tc>
        <w:tc>
          <w:p>
            <w:pPr>
              <w:pStyle w:val="Compact"/>
              <w:jc w:val="lef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27.2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1.510</w:t>
            </w:r>
          </w:p>
        </w:tc>
        <w:tc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p>
            <w:pPr>
              <w:pStyle w:val="Compact"/>
              <w:jc w:val="left"/>
            </w:pPr>
            <w:r>
              <w:t xml:space="preserve">0.893</w:t>
            </w:r>
          </w:p>
        </w:tc>
        <w:tc>
          <w:p>
            <w:pPr>
              <w:pStyle w:val="Compact"/>
              <w:jc w:val="lef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27.2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1.799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0.884</w:t>
            </w:r>
          </w:p>
        </w:tc>
      </w:tr>
    </w:tbl>
    <w:p>
      <w:pPr>
        <w:pStyle w:val="BodyText"/>
      </w:pPr>
      <w:r>
        <w:t xml:space="preserve">H μικρότερη ράβδος που καλύπτει την αντοχή επιφάνειας με</w:t>
      </w:r>
      <w:r>
        <w:t xml:space="preserve"> </w:t>
      </w:r>
      <m:oMath>
        <m:r>
          <m:t>Α</m:t>
        </m:r>
        <m:r>
          <m:t>&gt;</m:t>
        </m:r>
        <m:r>
          <m:t>1.46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είναι η ράβδος 27.2x1.9 με μήκος 3150mm</w:t>
      </w:r>
    </w:p>
    <w:p>
      <w:pPr>
        <w:pStyle w:val="Heading2"/>
      </w:pPr>
      <w:bookmarkStart w:id="39" w:name="maxima"/>
      <w:r>
        <w:t xml:space="preserve">maxima</w:t>
      </w:r>
      <w:bookmarkEnd w:id="39"/>
    </w:p>
    <w:p>
      <w:pPr>
        <w:pStyle w:val="FirstParagraph"/>
      </w:pPr>
      <w:r>
        <w:t xml:space="preserve">programmode:false;</w:t>
      </w:r>
    </w:p>
    <w:bookmarkStart w:id="40" w:name="tension_maxima"/>
    <w:p>
      <w:pPr>
        <w:pStyle w:val="SourceCode"/>
      </w:pPr>
      <w:r>
        <w:rPr>
          <w:rStyle w:val="VariableTok"/>
        </w:rPr>
        <w:t xml:space="preserve">fpprintprec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$</w:t>
      </w:r>
      <w:r>
        <w:br/>
      </w:r>
      <w:r>
        <w:br/>
      </w:r>
      <w:r>
        <w:rPr>
          <w:rStyle w:val="ConstantTok"/>
        </w:rPr>
        <w:t xml:space="preserve">eq1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 =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/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eq1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eq2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= 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 /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eq2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eq3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delta</w:t>
      </w:r>
      <w:r>
        <w:rPr>
          <w:rStyle w:val="NormalTok"/>
        </w:rPr>
        <w:t xml:space="preserve"> = 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) / (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)$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eq3</w:t>
      </w:r>
      <w:r>
        <w:rPr>
          <w:rStyle w:val="NormalTok"/>
        </w:rPr>
        <w:t xml:space="preserve">))$</w:t>
      </w:r>
      <w:r>
        <w:br/>
      </w:r>
      <w:r>
        <w:br/>
      </w:r>
      <w:r>
        <w:rPr>
          <w:rStyle w:val="ConstantTok"/>
        </w:rPr>
        <w:t xml:space="preserve">eq10a</w:t>
      </w:r>
      <w:r>
        <w:rPr>
          <w:rStyle w:val="NormalTok"/>
        </w:rPr>
        <w:t xml:space="preserve">: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)$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eq10a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nstantTok"/>
        </w:rPr>
        <w:t xml:space="preserve">P</w:t>
      </w:r>
      <w:r>
        <w:rPr>
          <w:rStyle w:val="NormalTok"/>
        </w:rPr>
        <w:t xml:space="preserve">:</w:t>
      </w:r>
      <w:r>
        <w:rPr>
          <w:rStyle w:val="FloatTok"/>
        </w:rPr>
        <w:t xml:space="preserve">54.28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"$$P:"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"kN$$"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"$$σ:"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"MPa$$"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nstantTok"/>
        </w:rPr>
        <w:t xml:space="preserve">A</w:t>
      </w:r>
      <w:r>
        <w:rPr>
          <w:rStyle w:val="NormalTok"/>
        </w:rPr>
        <w:t xml:space="preserve">:(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/ (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"$$A:"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"m^2$$"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nstantTok"/>
        </w:rPr>
        <w:t xml:space="preserve">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epsilon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/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$</w:t>
      </w:r>
      <w:r>
        <w:br/>
      </w:r>
      <w:r>
        <w:rPr>
          <w:rStyle w:val="ConstantTok"/>
        </w:rPr>
        <w:t xml:space="preserve">epsilon</w:t>
      </w:r>
      <w:r>
        <w:rPr>
          <w:rStyle w:val="NormalTok"/>
        </w:rPr>
        <w:t xml:space="preserve">:(</w:t>
      </w:r>
      <w:r>
        <w:rPr>
          <w:rStyle w:val="ConstantTok"/>
        </w:rPr>
        <w:t xml:space="preserve">sigma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/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numer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"$$ε:"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epsilon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nstantTok"/>
        </w:rPr>
        <w:t xml:space="preserve">l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$</w:t>
      </w:r>
      <w:r>
        <w:br/>
      </w:r>
      <w:r>
        <w:rPr>
          <w:rStyle w:val="FunctionTok"/>
        </w:rPr>
        <w:t xml:space="preserve">delta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 / (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*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"$$delta:"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delta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"m$$"</w:t>
      </w:r>
      <w:r>
        <w:rPr>
          <w:rStyle w:val="NormalTok"/>
        </w:rPr>
        <w:t xml:space="preserve">);</w:t>
      </w:r>
    </w:p>
    <w:bookmarkEnd w:id="40"/>
    <w:p>
      <w:pPr>
        <w:pStyle w:val="FirstParagraph"/>
      </w:pPr>
      <w:r>
        <w:t xml:space="preserve">false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:</m:t>
          </m:r>
          <m:r>
            <m:t>54.2</m:t>
          </m:r>
          <m:r>
            <m:t>k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:</m:t>
          </m:r>
          <m:r>
            <m:t>370</m:t>
          </m:r>
          <m:r>
            <m:t>M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:</m:t>
          </m:r>
          <m:r>
            <m:t>1.46</m:t>
          </m:r>
          <m:r>
            <m:t>E</m:t>
          </m:r>
          <m:r>
            <m:t>−</m:t>
          </m:r>
          <m:r>
            <m:t>4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ε</m:t>
          </m:r>
          <m:r>
            <m:t>:</m:t>
          </m:r>
          <m:r>
            <m:t>0.00185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l</m:t>
          </m:r>
          <m:r>
            <m:t>t</m:t>
          </m:r>
          <m:r>
            <m:t>a</m:t>
          </m:r>
          <m:r>
            <m:t>:</m:t>
          </m:r>
          <m:r>
            <m:t>0.00582</m:t>
          </m:r>
          <m:r>
            <m:t>m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hyperlink" Id="rId32" Target="./maxima/column_ac.mac" TargetMode="External" /><Relationship Type="http://schemas.openxmlformats.org/officeDocument/2006/relationships/hyperlink" Id="rId21" Target="https://eurocodeapplied.com/design/en1993/ipe-hea-heb-hem-design-properties" TargetMode="External" /><Relationship Type="http://schemas.openxmlformats.org/officeDocument/2006/relationships/hyperlink" Id="rId38" Target="https://www.nspc.nipponsteel.com/en/products/building_kenchiku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maxima/column_ac.mac" TargetMode="External" /><Relationship Type="http://schemas.openxmlformats.org/officeDocument/2006/relationships/hyperlink" Id="rId21" Target="https://eurocodeapplied.com/design/en1993/ipe-hea-heb-hem-design-properties" TargetMode="External" /><Relationship Type="http://schemas.openxmlformats.org/officeDocument/2006/relationships/hyperlink" Id="rId38" Target="https://www.nspc.nipponsteel.com/en/products/building_kenchiku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columnbc</dc:title>
  <dc:creator/>
  <cp:keywords/>
  <dcterms:created xsi:type="dcterms:W3CDTF">2023-04-25T19:38:32Z</dcterms:created>
  <dcterms:modified xsi:type="dcterms:W3CDTF">2023-04-25T19:38:32Z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">
    <vt:lpwstr>header-args :eval no-export</vt:lpwstr>
  </property>
  <property fmtid="{D5CDD505-2E9C-101B-9397-08002B2CF9AE}" pid="3" name="setupfile">
    <vt:lpwstr>/home/solid/org/src/setup_theme.setup</vt:lpwstr>
  </property>
  <property fmtid="{D5CDD505-2E9C-101B-9397-08002B2CF9AE}" pid="4" name="startup">
    <vt:lpwstr>shrink</vt:lpwstr>
  </property>
  <property fmtid="{D5CDD505-2E9C-101B-9397-08002B2CF9AE}" pid="5" name="tblfm">
    <vt:lpwstr>@10$3=($P*$L^2)/(3.14^2*$E1*$K1)::@11$3=@-1*10^8::@12$3=@10*1e12*1e-6</vt:lpwstr>
  </property>
  <property fmtid="{D5CDD505-2E9C-101B-9397-08002B2CF9AE}" pid="6" name="tblname">
    <vt:lpwstr>IPE_beams_calculations2</vt:lpwstr>
  </property>
</Properties>
</file>