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92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1"/>
        <w:gridCol w:w="336"/>
        <w:gridCol w:w="1365"/>
        <w:gridCol w:w="1735"/>
        <w:gridCol w:w="284"/>
        <w:gridCol w:w="2284"/>
        <w:gridCol w:w="796"/>
        <w:gridCol w:w="149"/>
        <w:gridCol w:w="1365"/>
      </w:tblGrid>
      <w:tr w14:paraId="7D569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5" w:hRule="atLeast"/>
          <w:jc w:val="center"/>
        </w:trPr>
        <w:tc>
          <w:tcPr>
            <w:tcW w:w="1307" w:type="dxa"/>
            <w:gridSpan w:val="2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16ABBE7C">
            <w:pPr>
              <w:pStyle w:val="19"/>
              <w:jc w:val="center"/>
            </w:pPr>
            <w:r>
              <w:rPr>
                <w:rFonts w:hint="eastAsia"/>
                <w:b/>
                <w:bCs/>
                <w:sz w:val="30"/>
              </w:rPr>
              <w:br w:type="page"/>
            </w:r>
            <w:r>
              <w:rPr>
                <w:rFonts w:hint="eastAsia"/>
              </w:rPr>
              <w:t>分类号</w:t>
            </w:r>
          </w:p>
        </w:tc>
        <w:tc>
          <w:tcPr>
            <w:tcW w:w="1365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59C226F0">
            <w:pPr>
              <w:pStyle w:val="19"/>
              <w:jc w:val="center"/>
              <w:rPr>
                <w:rFonts w:hint="default" w:eastAsia="仿宋_GB2312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20250611</w:t>
            </w:r>
          </w:p>
        </w:tc>
        <w:tc>
          <w:tcPr>
            <w:tcW w:w="430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EBE4B8">
            <w:pPr>
              <w:pStyle w:val="19"/>
            </w:pPr>
          </w:p>
        </w:tc>
        <w:tc>
          <w:tcPr>
            <w:tcW w:w="945" w:type="dxa"/>
            <w:gridSpan w:val="2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4C719332">
            <w:pPr>
              <w:pStyle w:val="19"/>
              <w:jc w:val="center"/>
            </w:pPr>
            <w:r>
              <w:rPr>
                <w:rFonts w:hint="eastAsia"/>
              </w:rPr>
              <w:t>编 号</w:t>
            </w:r>
          </w:p>
        </w:tc>
        <w:tc>
          <w:tcPr>
            <w:tcW w:w="1365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3D09462B">
            <w:pPr>
              <w:pStyle w:val="19"/>
              <w:jc w:val="center"/>
              <w:rPr>
                <w:rFonts w:hint="default" w:eastAsia="仿宋_GB231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2E3F8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5" w:hRule="atLeast"/>
          <w:jc w:val="center"/>
        </w:trPr>
        <w:tc>
          <w:tcPr>
            <w:tcW w:w="1307" w:type="dxa"/>
            <w:gridSpan w:val="2"/>
            <w:vMerge w:val="continue"/>
            <w:tcBorders>
              <w:left w:val="nil"/>
              <w:bottom w:val="nil"/>
              <w:right w:val="nil"/>
            </w:tcBorders>
            <w:vAlign w:val="bottom"/>
          </w:tcPr>
          <w:p w14:paraId="429AF73A">
            <w:pPr>
              <w:pStyle w:val="19"/>
            </w:pPr>
          </w:p>
        </w:tc>
        <w:tc>
          <w:tcPr>
            <w:tcW w:w="1365" w:type="dxa"/>
            <w:vMerge w:val="continue"/>
            <w:tcBorders>
              <w:left w:val="nil"/>
              <w:bottom w:val="dashSmallGap" w:color="auto" w:sz="4" w:space="0"/>
              <w:right w:val="nil"/>
            </w:tcBorders>
            <w:vAlign w:val="bottom"/>
          </w:tcPr>
          <w:p w14:paraId="31270B2D">
            <w:pPr>
              <w:pStyle w:val="19"/>
            </w:pPr>
          </w:p>
        </w:tc>
        <w:tc>
          <w:tcPr>
            <w:tcW w:w="430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618B97">
            <w:pPr>
              <w:pStyle w:val="19"/>
            </w:pPr>
          </w:p>
        </w:tc>
        <w:tc>
          <w:tcPr>
            <w:tcW w:w="945" w:type="dxa"/>
            <w:gridSpan w:val="2"/>
            <w:vMerge w:val="continue"/>
            <w:tcBorders>
              <w:left w:val="nil"/>
              <w:bottom w:val="nil"/>
              <w:right w:val="nil"/>
            </w:tcBorders>
            <w:vAlign w:val="bottom"/>
          </w:tcPr>
          <w:p w14:paraId="00571845">
            <w:pPr>
              <w:pStyle w:val="19"/>
            </w:pPr>
          </w:p>
        </w:tc>
        <w:tc>
          <w:tcPr>
            <w:tcW w:w="1365" w:type="dxa"/>
            <w:vMerge w:val="continue"/>
            <w:tcBorders>
              <w:left w:val="nil"/>
              <w:bottom w:val="dashSmallGap" w:color="auto" w:sz="4" w:space="0"/>
              <w:right w:val="nil"/>
            </w:tcBorders>
            <w:vAlign w:val="bottom"/>
          </w:tcPr>
          <w:p w14:paraId="0E8DFEC2">
            <w:pPr>
              <w:pStyle w:val="19"/>
              <w:rPr>
                <w:rFonts w:hint="default" w:eastAsia="仿宋_GB2312"/>
                <w:lang w:val="en-US" w:eastAsia="zh-CN"/>
              </w:rPr>
            </w:pPr>
          </w:p>
        </w:tc>
      </w:tr>
      <w:tr w14:paraId="468D8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9" w:hRule="atLeast"/>
          <w:jc w:val="center"/>
        </w:trPr>
        <w:tc>
          <w:tcPr>
            <w:tcW w:w="928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AE35F6">
            <w:pPr>
              <w:pStyle w:val="20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  <w:lang w:val="en-US" w:eastAsia="zh-CN"/>
              </w:rPr>
              <w:t>钢铁表面缺陷检测系统</w:t>
            </w:r>
          </w:p>
        </w:tc>
      </w:tr>
      <w:tr w14:paraId="31063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4" w:hRule="atLeast"/>
          <w:jc w:val="center"/>
        </w:trPr>
        <w:tc>
          <w:tcPr>
            <w:tcW w:w="928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0D77E6">
            <w:pPr>
              <w:pStyle w:val="20"/>
              <w:jc w:val="center"/>
              <w:rPr>
                <w:rFonts w:hint="default"/>
                <w:b/>
                <w:color w:val="000000"/>
                <w:lang w:val="en-US" w:eastAsia="zh-CN"/>
              </w:rPr>
            </w:pPr>
            <w:r>
              <w:rPr>
                <w:rFonts w:hint="eastAsia"/>
                <w:b/>
                <w:color w:val="000000"/>
                <w:lang w:val="en-US" w:eastAsia="zh-CN"/>
              </w:rPr>
              <w:t>需求分析说明书</w:t>
            </w:r>
          </w:p>
          <w:p w14:paraId="543A5FAA">
            <w:pPr>
              <w:pStyle w:val="20"/>
              <w:jc w:val="center"/>
              <w:rPr>
                <w:rFonts w:hint="eastAsia"/>
                <w:b/>
                <w:color w:val="000000"/>
              </w:rPr>
            </w:pPr>
          </w:p>
        </w:tc>
      </w:tr>
      <w:tr w14:paraId="6277E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971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78101587">
            <w:pPr>
              <w:pStyle w:val="21"/>
              <w:jc w:val="both"/>
            </w:pPr>
          </w:p>
          <w:p w14:paraId="1FFFD681">
            <w:pPr>
              <w:widowControl/>
              <w:jc w:val="left"/>
              <w:rPr>
                <w:rFonts w:hint="eastAsia" w:eastAsia="楷体_GB2312"/>
                <w:color w:val="000000"/>
                <w:sz w:val="52"/>
              </w:rPr>
            </w:pPr>
          </w:p>
        </w:tc>
        <w:tc>
          <w:tcPr>
            <w:tcW w:w="343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B5E1E">
            <w:pPr>
              <w:pStyle w:val="22"/>
              <w:ind w:firstLine="0" w:firstLineChars="0"/>
            </w:pPr>
            <w:r>
              <w:rPr>
                <w:rFonts w:hint="eastAsia"/>
              </w:rPr>
              <w:t>编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</w:rPr>
              <w:t>团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</w:rPr>
              <w:t>队：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506732">
            <w:pPr>
              <w:pStyle w:val="22"/>
              <w:ind w:firstLine="1960"/>
            </w:pPr>
            <w:r>
              <w:rPr>
                <w:rFonts w:hint="eastAsia"/>
              </w:rPr>
              <w:t>：</w:t>
            </w:r>
          </w:p>
        </w:tc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197CD5">
            <w:pPr>
              <w:pStyle w:val="22"/>
              <w:ind w:firstLine="0" w:firstLineChars="0"/>
              <w:rPr>
                <w:spacing w:val="20"/>
              </w:rPr>
            </w:pPr>
            <w:r>
              <w:rPr>
                <w:rFonts w:hint="eastAsia"/>
                <w:spacing w:val="20"/>
                <w:lang w:val="en-US" w:eastAsia="zh-CN"/>
              </w:rPr>
              <w:t>一组 循光创进</w:t>
            </w:r>
            <w:r>
              <w:rPr>
                <w:spacing w:val="20"/>
              </w:rPr>
              <w:t xml:space="preserve">     </w:t>
            </w:r>
          </w:p>
        </w:tc>
        <w:tc>
          <w:tcPr>
            <w:tcW w:w="1514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241A45">
            <w:pPr>
              <w:adjustRightInd w:val="0"/>
              <w:snapToGrid w:val="0"/>
              <w:rPr>
                <w:rFonts w:hint="eastAsia" w:eastAsia="楷体_GB2312"/>
                <w:color w:val="000000"/>
                <w:sz w:val="52"/>
              </w:rPr>
            </w:pPr>
          </w:p>
        </w:tc>
      </w:tr>
      <w:tr w14:paraId="41359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971" w:type="dxa"/>
            <w:vMerge w:val="continue"/>
            <w:tcBorders>
              <w:left w:val="nil"/>
              <w:right w:val="nil"/>
            </w:tcBorders>
            <w:vAlign w:val="center"/>
          </w:tcPr>
          <w:p w14:paraId="0BA2F683">
            <w:pPr>
              <w:widowControl/>
              <w:jc w:val="left"/>
              <w:rPr>
                <w:rFonts w:eastAsia="楷体_GB2312"/>
                <w:color w:val="000000"/>
                <w:sz w:val="52"/>
              </w:rPr>
            </w:pPr>
          </w:p>
        </w:tc>
        <w:tc>
          <w:tcPr>
            <w:tcW w:w="343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67457C">
            <w:pPr>
              <w:pStyle w:val="22"/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    写    日    期：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AA6F4">
            <w:pPr>
              <w:pStyle w:val="22"/>
              <w:ind w:firstLine="1960"/>
            </w:pPr>
            <w:r>
              <w:rPr>
                <w:rFonts w:hint="eastAsia"/>
              </w:rPr>
              <w:t>：</w:t>
            </w:r>
          </w:p>
        </w:tc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F3F137">
            <w:pPr>
              <w:pStyle w:val="22"/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2026年6月4日</w:t>
            </w:r>
          </w:p>
        </w:tc>
        <w:tc>
          <w:tcPr>
            <w:tcW w:w="151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7DCE17">
            <w:pPr>
              <w:widowControl/>
              <w:jc w:val="distribute"/>
              <w:rPr>
                <w:rFonts w:eastAsia="楷体_GB2312"/>
                <w:color w:val="000000"/>
                <w:sz w:val="52"/>
              </w:rPr>
            </w:pPr>
          </w:p>
        </w:tc>
      </w:tr>
      <w:tr w14:paraId="73B96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971" w:type="dxa"/>
            <w:vMerge w:val="continue"/>
            <w:tcBorders>
              <w:left w:val="nil"/>
              <w:right w:val="nil"/>
            </w:tcBorders>
            <w:vAlign w:val="center"/>
          </w:tcPr>
          <w:p w14:paraId="1598BD2B">
            <w:pPr>
              <w:widowControl/>
              <w:jc w:val="left"/>
              <w:rPr>
                <w:rFonts w:eastAsia="楷体_GB2312"/>
                <w:color w:val="000000"/>
                <w:sz w:val="52"/>
              </w:rPr>
            </w:pPr>
          </w:p>
        </w:tc>
        <w:tc>
          <w:tcPr>
            <w:tcW w:w="343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39FA0">
            <w:pPr>
              <w:pStyle w:val="22"/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    本    信    息: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4B1D39">
            <w:pPr>
              <w:pStyle w:val="22"/>
              <w:ind w:firstLine="1960"/>
            </w:pPr>
            <w:r>
              <w:rPr>
                <w:rFonts w:hint="eastAsia"/>
              </w:rPr>
              <w:t>：</w:t>
            </w:r>
          </w:p>
        </w:tc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5C74E">
            <w:pPr>
              <w:pStyle w:val="22"/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  <w:tc>
          <w:tcPr>
            <w:tcW w:w="151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B8A325">
            <w:pPr>
              <w:widowControl/>
              <w:jc w:val="distribute"/>
              <w:rPr>
                <w:rFonts w:eastAsia="楷体_GB2312"/>
                <w:color w:val="000000"/>
                <w:sz w:val="52"/>
              </w:rPr>
            </w:pPr>
          </w:p>
        </w:tc>
      </w:tr>
      <w:tr w14:paraId="6C915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5" w:hRule="atLeast"/>
          <w:jc w:val="center"/>
        </w:trPr>
        <w:tc>
          <w:tcPr>
            <w:tcW w:w="928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07246FC5">
            <w:pPr>
              <w:pStyle w:val="21"/>
            </w:pPr>
          </w:p>
        </w:tc>
      </w:tr>
    </w:tbl>
    <w:p w14:paraId="026FE615">
      <w:pPr>
        <w:pStyle w:val="2"/>
      </w:pPr>
      <w:bookmarkStart w:id="0" w:name="_GoBack"/>
      <w:bookmarkEnd w:id="0"/>
      <w:r>
        <w:t>一、项目概述</w:t>
      </w:r>
    </w:p>
    <w:p w14:paraId="773C43B3">
      <w:pPr>
        <w:pStyle w:val="3"/>
      </w:pPr>
      <w:r>
        <w:t>1.1 项目背景</w:t>
      </w:r>
    </w:p>
    <w:p w14:paraId="163270A3">
      <w:pPr>
        <w:spacing w:after="120" w:line="360" w:lineRule="auto"/>
      </w:pPr>
      <w:r>
        <w:t>某大型钢铁集团拥有多条热轧、冷轧自动化钢板产线，当前采用全人工目视质检模式，存在产线提速受限、质检标准不一、新缺陷响应滞后、质检数据孤岛四大核心痛点：人工仅可抽检 20% 产品，年度缺陷漏检造成客诉赔付 160 万元，产线为适配人工降速带来年产能损失 2000 万元；白夜班质检检出率差距 14%，新工艺衍生未知缺陷人工适配周期 2~4 周；纸质记录无法数字化沉淀，模型缺少训练数据无法迭代优化。为破除现有质检短板，立项研发 AI 智能表面缺陷检测系统，依托 YOLO+VLM 双视觉引擎架构，实现全流程自动化智能质检。</w:t>
      </w:r>
    </w:p>
    <w:p w14:paraId="593B2FE0">
      <w:pPr>
        <w:pStyle w:val="3"/>
      </w:pPr>
      <w:r>
        <w:t>1.2 建设总体目标</w:t>
      </w:r>
    </w:p>
    <w:p w14:paraId="2C41391E">
      <w:pPr>
        <w:pStyle w:val="4"/>
      </w:pPr>
      <w:r>
        <w:t>1.2.1 业务目标</w:t>
      </w:r>
    </w:p>
    <w:p w14:paraId="08222B4B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实现钢板 100% 全检，取消人工抽检模式，释放受限产能</w:t>
      </w:r>
    </w:p>
    <w:p w14:paraId="48027506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统一缺陷判定标准，年度客诉赔偿降至低位</w:t>
      </w:r>
    </w:p>
    <w:p w14:paraId="7D74781E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新缺陷落地周期由 4 周缩短至 2 天</w:t>
      </w:r>
    </w:p>
    <w:p w14:paraId="10EBF3B2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质检数据全量数字化，打通生产-质检数据链路，反向指导生产工艺优化</w:t>
      </w:r>
    </w:p>
    <w:p w14:paraId="43378EBD">
      <w:pPr>
        <w:pStyle w:val="4"/>
      </w:pPr>
      <w:r>
        <w:t>1.2.2 技术目标</w:t>
      </w:r>
    </w:p>
    <w:p w14:paraId="09F47824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搭建分层模块化 AI 质检平台，YOLO+VLM 双引擎协同检测</w:t>
      </w:r>
    </w:p>
    <w:p w14:paraId="5987E415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配套可视化仪表盘、自然语言交互、数据自动归集能力</w:t>
      </w:r>
    </w:p>
    <w:p w14:paraId="7D31F217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系统适配工厂封闭工业局域网，兼容现有工控硬件</w:t>
      </w:r>
    </w:p>
    <w:p w14:paraId="6AC2AEBE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支持后续多产线扩容扩展</w:t>
      </w:r>
    </w:p>
    <w:p w14:paraId="5DE87840">
      <w:pPr>
        <w:pStyle w:val="3"/>
      </w:pPr>
      <w:r>
        <w:t>1.3 系统技术架构</w:t>
      </w:r>
    </w:p>
    <w:p w14:paraId="54C39EDD">
      <w:pPr>
        <w:spacing w:after="120" w:line="360" w:lineRule="auto"/>
      </w:pPr>
      <w:r>
        <w:t>系统采用 Python 后端 + Gradio Web 前端架构，集成 YOLOv8 目标检测模型与阿里通义千问 Qwen-VL-Max 视觉大模型，形成"YOLO 快速筛查 + VLM 精细复核"双引擎协同检测流水线。系统功能涵盖：用户登录认证、实时检测仪表盘、缺陷严重度分级、RAG 根因分析、Bad Case 自动收集、批量检测、检测历史审核、数据报表导出等核心模块。</w:t>
      </w:r>
    </w:p>
    <w:p w14:paraId="6A5023D9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前端框架：Gradio 6.x Web UI，支持外网分享链接访问（share=True）</w:t>
      </w:r>
    </w:p>
    <w:p w14:paraId="210BB8DF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检测引擎：YOLOv8（NEU-DET 6 类缺陷）+ 阿里通义千问 Qwen-VL-Max 云端 API</w:t>
      </w:r>
    </w:p>
    <w:p w14:paraId="1F765BD6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VLM 降级方案：API 不可用时自动切换为本地图像分析（Canny 边缘检测 + 纹理分析 + OTSU 暗区检测）</w:t>
      </w:r>
    </w:p>
    <w:p w14:paraId="4C14AF43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数据存储：SQLite 数据库（SQLCipher 加密）</w:t>
      </w:r>
    </w:p>
    <w:p w14:paraId="24D51FBA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可视化：Plotly 交互式图表（饼图、趋势图）</w:t>
      </w:r>
    </w:p>
    <w:p w14:paraId="0A820E93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图像处理：OpenCV CLAHE 对比度增强 + 中文字段英文缩写映射（解决 OpenCV 中文渲染问题）</w:t>
      </w:r>
    </w:p>
    <w:p w14:paraId="5B530291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配置管理：YAML 配置文件 + .env 环境变量</w:t>
      </w:r>
    </w:p>
    <w:p w14:paraId="1A340B64">
      <w:pPr>
        <w:pStyle w:val="2"/>
      </w:pPr>
      <w:r>
        <w:t>二、业务需求分析</w:t>
      </w:r>
    </w:p>
    <w:p w14:paraId="6BEBBFCB">
      <w:pPr>
        <w:pStyle w:val="3"/>
      </w:pPr>
      <w:r>
        <w:t>2.1 解决产线节拍不匹配痛点：实现高速在线全检</w:t>
      </w:r>
    </w:p>
    <w:p w14:paraId="5E349D58">
      <w:pPr>
        <w:spacing w:after="120" w:line="360" w:lineRule="auto"/>
      </w:pPr>
      <w:r>
        <w:t>业务要求：匹配 1.5m/s 产线速度、30s/块钢板生产节拍，单张图片检测耗时 ≤50ms，取消因人工瓶颈导致的产线降速。当前系统已实现 YOLO 单张推理耗时 &lt;15ms（CPU 环境），VLM 接口响应 &lt;8s，批量检测支持多图片并发处理。</w:t>
      </w:r>
    </w:p>
    <w:p w14:paraId="02F5D4E7">
      <w:pPr>
        <w:pStyle w:val="3"/>
      </w:pPr>
      <w:r>
        <w:t>2.2 解决人工判定主观性痛点：统一量化质检标准</w:t>
      </w:r>
    </w:p>
    <w:p w14:paraId="3E1CD848">
      <w:pPr>
        <w:spacing w:after="120" w:line="360" w:lineRule="auto"/>
      </w:pPr>
      <w:r>
        <w:t>业务要求：依托 AI 算法固化缺陷判定阈值，消除白夜班检出率差值。当前系统已实现置信度阈值可配置（默认 0.01），自动输出缺陷位置、类型、置信度，并支持缺陷严重度 A/B/C/D 四级自动分级（面积权重 60% + 置信度 40%）。</w:t>
      </w:r>
    </w:p>
    <w:p w14:paraId="1CF82B1D">
      <w:pPr>
        <w:pStyle w:val="3"/>
      </w:pPr>
      <w:r>
        <w:t>2.3 解决新型缺陷适配缓慢痛点：零样本快速识别</w:t>
      </w:r>
    </w:p>
    <w:p w14:paraId="0C5B219B">
      <w:pPr>
        <w:spacing w:after="120" w:line="360" w:lineRule="auto"/>
      </w:pPr>
      <w:r>
        <w:t>业务要求：VLM 零样本大模型，新缺陷出现即刻识别。当前系统已集成 Qwen-VL-Max 视觉大模型，支持零样本缺陷描述识别，不依赖预标注样本。VLM 分析采用结构化 Prompt 工程，输出标准化 JSON 格式检测结果。</w:t>
      </w:r>
    </w:p>
    <w:p w14:paraId="68D8B58C">
      <w:pPr>
        <w:pStyle w:val="3"/>
      </w:pPr>
      <w:r>
        <w:t>2.4 解决数据孤岛痛点：全链路数据数字化闭环</w:t>
      </w:r>
    </w:p>
    <w:p w14:paraId="6E98394F">
      <w:pPr>
        <w:spacing w:after="120" w:line="360" w:lineRule="auto"/>
      </w:pPr>
      <w:r>
        <w:t>业务要求：废弃纸质台账，所有质检结果自动入库。当前系统已实现：检测结果自动存入 SQLite 数据库、Bad Case 低置信度样本自动收集归档、CSV/HTML 多格式报表导出、Plotly 缺陷分布饼图与趋势图可视化。</w:t>
      </w:r>
    </w:p>
    <w:p w14:paraId="09623ACB">
      <w:pPr>
        <w:pStyle w:val="2"/>
      </w:pPr>
      <w:r>
        <w:t>三、用户角色划分与个性化需求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3"/>
        <w:gridCol w:w="2116"/>
        <w:gridCol w:w="5357"/>
      </w:tblGrid>
      <w:tr w14:paraId="43274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9EBC2">
            <w:pPr>
              <w:spacing w:after="4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9281E">
            <w:pPr>
              <w:spacing w:after="4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岗位定位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DBDCA">
            <w:pPr>
              <w:spacing w:after="4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核心业务需求</w:t>
            </w:r>
          </w:p>
        </w:tc>
      </w:tr>
      <w:tr w14:paraId="7AD86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C84B4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系统管理员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40748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系统运维人员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B4730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1. 管理系统登录账号与访问权限
2. 配置检测引擎参数（置信阈值/VLM开关）
3. 管理公共访问链接
4. 监控系统资源状态与KPI指标</w:t>
            </w:r>
          </w:p>
        </w:tc>
      </w:tr>
      <w:tr w14:paraId="6E860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922EF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现场质检员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85279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一线质检操作人员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A6E1E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1. 可视化查看 AI 实时检测结果
2. 对存疑 AI 结果人工修正、标注 Bad Case
3. 导出当日质检单据
4. 使用 RAG 根因分析辅助判断</w:t>
            </w:r>
          </w:p>
        </w:tc>
      </w:tr>
      <w:tr w14:paraId="11248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ACD73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质检主管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17BCA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质量管理负责人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01B71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1. 查看全产线实时缺陷仪表盘
2. 多维度质量统计报表
3. 按产线/时间段筛选质检数据
4. 监控漏检、误检 KPI 指标</w:t>
            </w:r>
          </w:p>
        </w:tc>
      </w:tr>
      <w:tr w14:paraId="32589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9F371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AI 工程师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30F25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算法运维人员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E4B8F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1. 一键导出 Bad Case 标注数据集
2. 管理 YOLO/VLM 双引擎参数
3. 迭代更新模型
4. 查看模型准确率趋势</w:t>
            </w:r>
          </w:p>
        </w:tc>
      </w:tr>
      <w:tr w14:paraId="4BADF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FB32E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工艺工程师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DD754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生产工艺优化人员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0C8B3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1. 查询缺陷高发位置分布
2. 依据缺陷数据定位工艺异常
3. 对接 MES 获取生产参数
4. 联动分析缺陷产生根因</w:t>
            </w:r>
          </w:p>
        </w:tc>
      </w:tr>
    </w:tbl>
    <w:p w14:paraId="6B7237F0">
      <w:pPr>
        <w:pStyle w:val="2"/>
      </w:pPr>
      <w:r>
        <w:t>四、功能需求（六大核心功能模块）</w:t>
      </w:r>
    </w:p>
    <w:p w14:paraId="476E80A8">
      <w:pPr>
        <w:pStyle w:val="3"/>
      </w:pPr>
      <w:r>
        <w:t>模块 1：用户认证与访问控制模块（新增）</w:t>
      </w:r>
    </w:p>
    <w:p w14:paraId="63F6EACA">
      <w:pPr>
        <w:spacing w:after="120" w:line="360" w:lineRule="auto"/>
      </w:pPr>
      <w:r>
        <w:t>系统新增完整的用户登录认证体系，确保检测平台的安全性。</w:t>
      </w:r>
    </w:p>
    <w:p w14:paraId="0E3F03F6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登录界面：独立登录页面，用户名 + 密码认证</w:t>
      </w:r>
    </w:p>
    <w:p w14:paraId="4A592BFB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默认账户：admin / 123456</w:t>
      </w:r>
    </w:p>
    <w:p w14:paraId="5F32DE45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外网访问：通过 Gradio share=True 生成公网临时链接，支持远程访问</w:t>
      </w:r>
    </w:p>
    <w:p w14:paraId="7DD1299C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会话管理：登录态保持，未登录用户无法访问检测功能</w:t>
      </w:r>
    </w:p>
    <w:p w14:paraId="7FE991E0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登出功能：支持主动登出，清除会话状态</w:t>
      </w:r>
    </w:p>
    <w:p w14:paraId="3ECFA150">
      <w:pPr>
        <w:pStyle w:val="3"/>
      </w:pPr>
      <w:r>
        <w:t>模块 2：产线实时智能检测模块（双引擎协同核心）</w:t>
      </w:r>
    </w:p>
    <w:p w14:paraId="7F18BAF3">
      <w:pPr>
        <w:pStyle w:val="4"/>
      </w:pPr>
      <w:r>
        <w:t>2.1 图像采集接入</w:t>
      </w:r>
    </w:p>
    <w:p w14:paraId="67CEC9FA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支持用户手动上传单张/批量钢板表面图像</w:t>
      </w:r>
    </w:p>
    <w:p w14:paraId="497EAC8E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兼容网络共享文件夹挂载、HTTP API 两种图片上传方式</w:t>
      </w:r>
    </w:p>
    <w:p w14:paraId="51BF78C4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自动拉取产线实时钢板图像（预留接口）</w:t>
      </w:r>
    </w:p>
    <w:p w14:paraId="3006FE6E">
      <w:pPr>
        <w:pStyle w:val="4"/>
      </w:pPr>
      <w:r>
        <w:t>2.2 双引擎智能分流检测</w:t>
      </w:r>
    </w:p>
    <w:p w14:paraId="281C31F4">
      <w:pPr>
        <w:spacing w:after="120" w:line="360" w:lineRule="auto"/>
      </w:pPr>
      <w:r>
        <w:t>系统实际实现的双引擎协同检测流程如下：</w:t>
      </w:r>
    </w:p>
    <w:p w14:paraId="0BD5D538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YOLO 快速筛查：使用 YOLOv8 模型进行一级检测，输出缺陷包围盒、类别、置信度</w:t>
      </w:r>
    </w:p>
    <w:p w14:paraId="10B7963E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VLM 精细分析：基于阿里通义千问 Qwen-VL-Max 云端 API，对图像进行二级语义级复核</w:t>
      </w:r>
    </w:p>
    <w:p w14:paraId="57745291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置信度分流策略：高置信度（≥0.8）YOLO 直出，中置信度（0.5-0.8）VLM 复核，低置信度（&lt;0.5）转人工审核</w:t>
      </w:r>
    </w:p>
    <w:p w14:paraId="4BB049CE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异常兜底：VLM 云端 API 超时/故障时系统自动降级，切换为本地图像分析（Canny 边缘 + HoughLines 纹理 + OTSU 暗区检测），保障业务不中断</w:t>
      </w:r>
    </w:p>
    <w:p w14:paraId="56D198D3">
      <w:pPr>
        <w:pStyle w:val="4"/>
      </w:pPr>
      <w:r>
        <w:t>2.3 缺陷结构化输出</w:t>
      </w:r>
    </w:p>
    <w:p w14:paraId="774CB5E8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自动生成含缺陷坐标 (x1, y1, x2, y2)、缺陷类别（crazing/inclusion/patches/pitted_surface/rolled-in_scale/scratches）、置信度的 JSON 数据</w:t>
      </w:r>
    </w:p>
    <w:p w14:paraId="227628D1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检测统计面板实时显示：耗时、检测引擎类型、缺陷总数、各类别分布</w:t>
      </w:r>
    </w:p>
    <w:p w14:paraId="7B6D9EC4">
      <w:pPr>
        <w:pStyle w:val="4"/>
      </w:pPr>
      <w:r>
        <w:t>2.4 检测结果可视化</w:t>
      </w:r>
    </w:p>
    <w:p w14:paraId="4EDA72C8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标注图像：在原始图像上绘制彩色包围盒 + 缺陷标签</w:t>
      </w:r>
    </w:p>
    <w:p w14:paraId="3F58AF09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中文标签映射：由于 OpenCV cv2.putText 不支持中文，系统采用英文缩写映射方案（CRACK/INCL/PATCH/PIT/SCALE/SCR），确保标注清晰</w:t>
      </w:r>
    </w:p>
    <w:p w14:paraId="602A64BF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热力图：基于缺陷分布生成密度热力图，直观展示缺陷集中区域</w:t>
      </w:r>
    </w:p>
    <w:p w14:paraId="3AD2C00E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检测报告卡片：以白色卡片形式展示每个缺陷的详细信息（类别、置信度、位置、面积）</w:t>
      </w:r>
    </w:p>
    <w:p w14:paraId="51791BB3">
      <w:pPr>
        <w:pStyle w:val="3"/>
      </w:pPr>
      <w:r>
        <w:t>模块 3：缺陷严重度分级与 KPI 监控模块（新增）</w:t>
      </w:r>
    </w:p>
    <w:p w14:paraId="15DA6F79">
      <w:pPr>
        <w:pStyle w:val="4"/>
      </w:pPr>
      <w:r>
        <w:t>3.1 缺陷严重度自动分级</w:t>
      </w:r>
    </w:p>
    <w:p w14:paraId="5E045353">
      <w:pPr>
        <w:spacing w:after="120" w:line="360" w:lineRule="auto"/>
      </w:pPr>
      <w:r>
        <w:t>系统自动对检测出的每个缺陷进行 A/B/C/D 四级严重度分级：</w:t>
      </w:r>
    </w:p>
    <w:p w14:paraId="50E81872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A 级（严重）：高置信度 + 大面积缺陷，需立即停机处理</w:t>
      </w:r>
    </w:p>
    <w:p w14:paraId="405120CD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B 级（中等）：中高置信度 + 中等面积，需重点关注</w:t>
      </w:r>
    </w:p>
    <w:p w14:paraId="45BC6CA9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C 级（轻微）：中低置信度 + 小面积，可记录跟踪</w:t>
      </w:r>
    </w:p>
    <w:p w14:paraId="3414A526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D 级（忽略）：低置信度 + 极小面积，可忽略</w:t>
      </w:r>
    </w:p>
    <w:p w14:paraId="018F3C31">
      <w:pPr>
        <w:spacing w:after="120" w:line="360" w:lineRule="auto"/>
      </w:pPr>
      <w:r>
        <w:t>分级算法：综合缺陷面积占比（60% 权重）+ 检测置信度（40% 权重）加权评分。</w:t>
      </w:r>
    </w:p>
    <w:p w14:paraId="46A53E31">
      <w:pPr>
        <w:pStyle w:val="4"/>
      </w:pPr>
      <w:r>
        <w:t>3.2 KPI 实时监控面板</w:t>
      </w:r>
    </w:p>
    <w:p w14:paraId="482D3E41">
      <w:pPr>
        <w:spacing w:after="120" w:line="360" w:lineRule="auto"/>
      </w:pPr>
      <w:r>
        <w:t>仪表盘首页实时展示四大核心 KPI 指标：</w:t>
      </w:r>
    </w:p>
    <w:p w14:paraId="17B294FF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漏检率 KPI：目标 &lt; 1%，实时显示当前推定漏检率</w:t>
      </w:r>
    </w:p>
    <w:p w14:paraId="5150793D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过杀率 KPI：目标 &lt; 5%，监控误判良品比例</w:t>
      </w:r>
    </w:p>
    <w:p w14:paraId="09F47F99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平均检测延迟：目标 &lt; 50ms，监控系统实时性能</w:t>
      </w:r>
    </w:p>
    <w:p w14:paraId="400CF4DD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累计检测量：统计总检测次数与缺陷检出数量</w:t>
      </w:r>
    </w:p>
    <w:p w14:paraId="0C18345E">
      <w:pPr>
        <w:pStyle w:val="4"/>
      </w:pPr>
      <w:r>
        <w:t>3.3 双引擎调度状态</w:t>
      </w:r>
    </w:p>
    <w:p w14:paraId="1A602DB9">
      <w:pPr>
        <w:spacing w:after="120" w:line="360" w:lineRule="auto"/>
      </w:pPr>
      <w:r>
        <w:t>仪表盘展示当前双引擎协同调度策略：高置信度→YOLO直出、中置信度→VLM复核、低置信度→人工审核、Bad Case→自动收集迭代。</w:t>
      </w:r>
    </w:p>
    <w:p w14:paraId="0B5616FA">
      <w:pPr>
        <w:pStyle w:val="4"/>
      </w:pPr>
      <w:r>
        <w:t>3.4 系统资源监控</w:t>
      </w:r>
    </w:p>
    <w:p w14:paraId="28D621DA">
      <w:pPr>
        <w:spacing w:after="120" w:line="360" w:lineRule="auto"/>
      </w:pPr>
      <w:r>
        <w:t>实时显示：YOLO 模型文件、推理设备（CPU/GPU）、VLM 引擎提供商、数据库类型等关键信息。</w:t>
      </w:r>
    </w:p>
    <w:p w14:paraId="6A2CA437">
      <w:pPr>
        <w:pStyle w:val="3"/>
      </w:pPr>
      <w:r>
        <w:t>模块 4：RAG 根因分析模块（新增）</w:t>
      </w:r>
    </w:p>
    <w:p w14:paraId="10EC860E">
      <w:pPr>
        <w:spacing w:after="120" w:line="360" w:lineRule="auto"/>
      </w:pPr>
      <w:r>
        <w:t>系统集成 RAG（检索增强生成）技术，为每种缺陷类型提供完整的根因分析报告。</w:t>
      </w:r>
    </w:p>
    <w:p w14:paraId="627EB7C8">
      <w:pPr>
        <w:pStyle w:val="4"/>
      </w:pPr>
      <w:r>
        <w:t>4.1 本地知识库</w:t>
      </w:r>
    </w:p>
    <w:p w14:paraId="65E10DBE">
      <w:pPr>
        <w:spacing w:after="120" w:line="360" w:lineRule="auto"/>
      </w:pPr>
      <w:r>
        <w:t>系统内置 6 种缺陷类型的完整根因知识库，每种缺陷包含：</w:t>
      </w:r>
    </w:p>
    <w:p w14:paraId="07B5178A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缺陷中英文名称与图标</w:t>
      </w:r>
    </w:p>
    <w:p w14:paraId="5582CEE6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根因分析：从冶金学、轧制工艺、设备状态等维度阐述根本原因</w:t>
      </w:r>
    </w:p>
    <w:p w14:paraId="261BB7F7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影响因素列表：温度、轧制力、辊速、冷却速率等关键工艺参数</w:t>
      </w:r>
    </w:p>
    <w:p w14:paraId="5C259204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改进建议：具体的工艺调整方案和预防措施</w:t>
      </w:r>
    </w:p>
    <w:p w14:paraId="17F973AC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严重度分级：严重/中等/轻微三档分类</w:t>
      </w:r>
    </w:p>
    <w:p w14:paraId="459E7AC5">
      <w:pPr>
        <w:pStyle w:val="4"/>
      </w:pPr>
      <w:r>
        <w:t>4.2 云端 AI 增强</w:t>
      </w:r>
    </w:p>
    <w:p w14:paraId="16E2E563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支持调用阿里通义千问 API 获取更详细的根因分析补充</w:t>
      </w:r>
    </w:p>
    <w:p w14:paraId="71D0F89A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API 不可用时静默降级，仅显示本地知识库内容</w:t>
      </w:r>
    </w:p>
    <w:p w14:paraId="79F9B6C4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错误信息自动过滤，确保报告界面干净整洁</w:t>
      </w:r>
    </w:p>
    <w:p w14:paraId="2B86E8EE">
      <w:pPr>
        <w:pStyle w:val="3"/>
      </w:pPr>
      <w:r>
        <w:t>模块 5：人工审核与 Bad Case 管理模块</w:t>
      </w:r>
    </w:p>
    <w:p w14:paraId="03093796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待审核任务列表：系统自动归集低置信图片，按产线、时间排序</w:t>
      </w:r>
    </w:p>
    <w:p w14:paraId="57A4F406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人工修正功能：质检员可修改 AI 判定的缺陷类型、增减漏标缺陷</w:t>
      </w:r>
    </w:p>
    <w:p w14:paraId="593BA609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Bad Case 自动归档：所有置信度 &lt;0.5 的检测结果自动归类为 Bad Case</w:t>
      </w:r>
    </w:p>
    <w:p w14:paraId="6ACFE89E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Bad Case 可视化面板：列表展示低置信度样本，标注"待人工复核"状态</w:t>
      </w:r>
    </w:p>
    <w:p w14:paraId="27D4A67F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审核状态标记：区分未审核/已审核数据，支持添加审核人与备注</w:t>
      </w:r>
    </w:p>
    <w:p w14:paraId="26361AA8">
      <w:pPr>
        <w:pStyle w:val="3"/>
      </w:pPr>
      <w:r>
        <w:t>模块 6：数据统计、可视化与导出模块</w:t>
      </w:r>
    </w:p>
    <w:p w14:paraId="1BCBB023">
      <w:pPr>
        <w:pStyle w:val="4"/>
      </w:pPr>
      <w:r>
        <w:t>6.1 可视化大屏仪表盘</w:t>
      </w:r>
    </w:p>
    <w:p w14:paraId="1E023653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缺陷 TOP 类型分布饼图（Plotly 交互式图表）</w:t>
      </w:r>
    </w:p>
    <w:p w14:paraId="34D5583D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近 30 天检测趋势折线图</w:t>
      </w:r>
    </w:p>
    <w:p w14:paraId="68E74B62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日/月质检总量统计卡片</w:t>
      </w:r>
    </w:p>
    <w:p w14:paraId="47ACCE76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漏检/过杀率 KPI 实时看板</w:t>
      </w:r>
    </w:p>
    <w:p w14:paraId="502E2325">
      <w:pPr>
        <w:pStyle w:val="4"/>
      </w:pPr>
      <w:r>
        <w:t>6.2 检测历史审核</w:t>
      </w:r>
    </w:p>
    <w:p w14:paraId="549662BD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多条件筛选查询：按时间段、缺陷种类、引擎类型筛选历史记录</w:t>
      </w:r>
    </w:p>
    <w:p w14:paraId="0AF82C15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审核操作：确认/修正检测结果，添加备注信息</w:t>
      </w:r>
    </w:p>
    <w:p w14:paraId="5530F259">
      <w:pPr>
        <w:pStyle w:val="4"/>
      </w:pPr>
      <w:r>
        <w:t>6.3 多格式导出</w:t>
      </w:r>
    </w:p>
    <w:p w14:paraId="2BEA553C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CSV 格式质检汇总报告</w:t>
      </w:r>
    </w:p>
    <w:p w14:paraId="5D0B64C1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HTML 可视化质量报告</w:t>
      </w:r>
    </w:p>
    <w:p w14:paraId="4F1E8DD2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批量图片检测结果导出</w:t>
      </w:r>
    </w:p>
    <w:p w14:paraId="7AE44D9A">
      <w:pPr>
        <w:pStyle w:val="3"/>
      </w:pPr>
      <w:r>
        <w:t>模块 7：系统运维与配置管理模块</w:t>
      </w:r>
    </w:p>
    <w:p w14:paraId="7DDD6F88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引擎配置：YAML 文件可视化配置 YOLO 置信阈值、VLM 超时时间、模型路径</w:t>
      </w:r>
    </w:p>
    <w:p w14:paraId="1A0BAEB0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环境变量管理：DASHSCOPE_API_KEY 等敏感信息通过 .env 文件管理，禁止代码硬编码</w:t>
      </w:r>
    </w:p>
    <w:p w14:paraId="24E7D7AA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Gradio 共享链接管理：share: true 配置项控制外网访问开关</w:t>
      </w:r>
    </w:p>
    <w:p w14:paraId="03FB3BE1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数据库管理：支持 SQLite 数据库初始化、备份、恢复</w:t>
      </w:r>
    </w:p>
    <w:p w14:paraId="5BB54EB5">
      <w:pPr>
        <w:pStyle w:val="2"/>
      </w:pPr>
      <w:r>
        <w:t>五、非功能需求</w:t>
      </w:r>
    </w:p>
    <w:p w14:paraId="193E3F11">
      <w:pPr>
        <w:pStyle w:val="3"/>
      </w:pPr>
      <w:r>
        <w:t>5.1 性能需求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74"/>
        <w:gridCol w:w="5642"/>
      </w:tblGrid>
      <w:tr w14:paraId="4020E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EA03A">
            <w:pPr>
              <w:spacing w:after="4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指标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A1B78">
            <w:pPr>
              <w:spacing w:after="4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要求</w:t>
            </w:r>
          </w:p>
        </w:tc>
      </w:tr>
      <w:tr w14:paraId="2F314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D8F4F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YOLO 单张推理耗时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C54FE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≤15ms（CPU）/ 实际测试 &lt;10ms</w:t>
            </w:r>
          </w:p>
        </w:tc>
      </w:tr>
      <w:tr w14:paraId="27BB8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BD2AA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VLM 接口响应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ACDD3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≤8s（云端 API，超时自动降级）</w:t>
            </w:r>
          </w:p>
        </w:tc>
      </w:tr>
      <w:tr w14:paraId="764A3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E1EFC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系统平均检测延迟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550C3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目标 ≤30ms（YOLO 直出路径）</w:t>
            </w:r>
          </w:p>
        </w:tc>
      </w:tr>
      <w:tr w14:paraId="08A7A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20B3C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并发能力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E9BD0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单机支持批量多图顺序检测</w:t>
            </w:r>
          </w:p>
        </w:tc>
      </w:tr>
      <w:tr w14:paraId="13CE5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43FCC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UI 响应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F24E4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Gradio Web 界面 JavaScript 交互延迟 &lt;500ms</w:t>
            </w:r>
          </w:p>
        </w:tc>
      </w:tr>
    </w:tbl>
    <w:p w14:paraId="2A0DE2FF">
      <w:pPr>
        <w:pStyle w:val="3"/>
      </w:pPr>
      <w:r>
        <w:t>5.2 精度指标（系统硬性 KPI）</w:t>
      </w:r>
    </w:p>
    <w:p w14:paraId="0473B473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漏检率月度整体 &lt; 1%，过杀率（误判良品）&lt; 5%</w:t>
      </w:r>
    </w:p>
    <w:p w14:paraId="5351CE51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系统自动判定占比 ≥ 95%，人工审核率 ≤ 5%</w:t>
      </w:r>
    </w:p>
    <w:p w14:paraId="3DC61A12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缺陷识别由原人工 85% 综合检出率提升至 98%</w:t>
      </w:r>
    </w:p>
    <w:p w14:paraId="5BEBBBDB">
      <w:pPr>
        <w:pStyle w:val="3"/>
      </w:pPr>
      <w:r>
        <w:t>5.3 可靠性需求</w:t>
      </w:r>
    </w:p>
    <w:p w14:paraId="30E3A40E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VLM 调用失败自动降级为本地分析，进程不崩溃</w:t>
      </w:r>
    </w:p>
    <w:p w14:paraId="245A2E52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模型文件损坏、数据库异常均有容错机制</w:t>
      </w:r>
    </w:p>
    <w:p w14:paraId="04E370C6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RAG API 调用失败静默跳过，仅显示本地知识库内容</w:t>
      </w:r>
    </w:p>
    <w:p w14:paraId="693FF9E6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支持 Windows 系统服务托管，开机自启</w:t>
      </w:r>
    </w:p>
    <w:p w14:paraId="4F76767E">
      <w:pPr>
        <w:pStyle w:val="3"/>
      </w:pPr>
      <w:r>
        <w:t>5.4 安全需求</w:t>
      </w:r>
    </w:p>
    <w:p w14:paraId="09CAD2CB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登录认证：admin/123456 账户控制访问权限</w:t>
      </w:r>
    </w:p>
    <w:p w14:paraId="7FCE618F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API 密钥管理：DASHSCOPE_API_KEY 存放于 .env 环境变量</w:t>
      </w:r>
    </w:p>
    <w:p w14:paraId="1B477B70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数据安全：SQLite 数据库本地存储，支持 SQLCipher 加密</w:t>
      </w:r>
    </w:p>
    <w:p w14:paraId="111C8673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网络安全：适配工厂封闭局域网，仅 VLM 调用时临时访问外网</w:t>
      </w:r>
    </w:p>
    <w:p w14:paraId="4D1719FD">
      <w:pPr>
        <w:pStyle w:val="3"/>
      </w:pPr>
      <w:r>
        <w:t>5.5 可扩展性需求</w:t>
      </w:r>
    </w:p>
    <w:p w14:paraId="6466F608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算法扩展：新增检测模型仅需实现 DetectionResult 接口</w:t>
      </w:r>
    </w:p>
    <w:p w14:paraId="4F79F85E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功能扩展：新增 Gradio Tab 页面即可插入功能模块</w:t>
      </w:r>
    </w:p>
    <w:p w14:paraId="69903BF4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产线扩展：支持后续多工控机集群部署，共享中心数据库</w:t>
      </w:r>
    </w:p>
    <w:p w14:paraId="39F46E0E">
      <w:pPr>
        <w:pStyle w:val="3"/>
      </w:pPr>
      <w:r>
        <w:t>5.6 易用性需求</w:t>
      </w:r>
    </w:p>
    <w:p w14:paraId="7B6668E5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可视化 Gradio 页面，5 个功能 Tab 清晰分区</w:t>
      </w:r>
    </w:p>
    <w:p w14:paraId="272D4A4E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科技感深色主题 UI，白色卡片高对比度设计</w:t>
      </w:r>
    </w:p>
    <w:p w14:paraId="1E4E3088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一键操作：上传图片→自动检测→自动生成报告</w:t>
      </w:r>
    </w:p>
    <w:p w14:paraId="1800B86A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分析报告总览合并为单个可滚动窗口，减少页面纵向长度</w:t>
      </w:r>
    </w:p>
    <w:p w14:paraId="4C5529D9">
      <w:pPr>
        <w:pStyle w:val="2"/>
      </w:pPr>
      <w:r>
        <w:t>六、接口需求</w:t>
      </w:r>
    </w:p>
    <w:p w14:paraId="06EF5AF2">
      <w:pPr>
        <w:pStyle w:val="3"/>
      </w:pPr>
      <w:r>
        <w:t>6.1 外部 API 接口</w:t>
      </w:r>
    </w:p>
    <w:p w14:paraId="4E9F84ED">
      <w:pPr>
        <w:spacing w:after="120" w:line="360" w:lineRule="auto"/>
      </w:pPr>
      <w:r>
        <w:t>系统集成的外部 API 接口：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40"/>
        <w:gridCol w:w="2372"/>
        <w:gridCol w:w="1917"/>
        <w:gridCol w:w="2587"/>
      </w:tblGrid>
      <w:tr w14:paraId="40D04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907D7">
            <w:pPr>
              <w:spacing w:after="4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接口名称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4C240">
            <w:pPr>
              <w:spacing w:after="4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服务商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8BE2E">
            <w:pPr>
              <w:spacing w:after="4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用途</w:t>
            </w:r>
          </w:p>
        </w:tc>
        <w:tc>
          <w:tcPr>
            <w:tcW w:w="2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60219">
            <w:pPr>
              <w:spacing w:after="4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降级策略</w:t>
            </w:r>
          </w:p>
        </w:tc>
      </w:tr>
      <w:tr w14:paraId="0AA77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83037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Qwen-VL-Max API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01768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阿里通义千问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50A39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VLM 视觉缺陷识别</w:t>
            </w:r>
          </w:p>
        </w:tc>
        <w:tc>
          <w:tcPr>
            <w:tcW w:w="2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6E851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自动切换 LocalAnalyzer 本地分析</w:t>
            </w:r>
          </w:p>
        </w:tc>
      </w:tr>
      <w:tr w14:paraId="7383B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6BBDD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DashScope Chat API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9B596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阿里云百炼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A28C6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RAG AI 增强根因分析</w:t>
            </w:r>
          </w:p>
        </w:tc>
        <w:tc>
          <w:tcPr>
            <w:tcW w:w="2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D1151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静默跳过，仅显示本地知识库</w:t>
            </w:r>
          </w:p>
        </w:tc>
      </w:tr>
    </w:tbl>
    <w:p w14:paraId="296CE63E">
      <w:pPr>
        <w:pStyle w:val="3"/>
      </w:pPr>
      <w:r>
        <w:t>6.2 系统内部接口</w:t>
      </w:r>
    </w:p>
    <w:p w14:paraId="13B3A926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检测引擎接口：统一的 DetectionResult 数据结构（bbox, class_name, confidence）</w:t>
      </w:r>
    </w:p>
    <w:p w14:paraId="0914C029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VLM 引擎接口：标准 analyze(image) 方法，返回 detections JSON 数组</w:t>
      </w:r>
    </w:p>
    <w:p w14:paraId="24DBBB1C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数据库接口：DBManager CRUD 操作，支持事务</w:t>
      </w:r>
    </w:p>
    <w:p w14:paraId="07D7A3F6">
      <w:pPr>
        <w:pStyle w:val="3"/>
      </w:pPr>
      <w:r>
        <w:t>6.3 硬件接入接口</w:t>
      </w:r>
    </w:p>
    <w:p w14:paraId="7197003E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工业相机：支持文件夹挂载、HTTP 上传两种图片数据流接口</w:t>
      </w:r>
    </w:p>
    <w:p w14:paraId="28D97D32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MES 系统：JSON 结构化检测结果 API 推送（预留接口）</w:t>
      </w:r>
    </w:p>
    <w:p w14:paraId="377B64B4">
      <w:pPr>
        <w:pStyle w:val="2"/>
      </w:pPr>
      <w:r>
        <w:t>七、数据需求</w:t>
      </w:r>
    </w:p>
    <w:p w14:paraId="03E8153A">
      <w:pPr>
        <w:pStyle w:val="3"/>
      </w:pPr>
      <w:r>
        <w:t>7.1 检测缺陷类别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1"/>
        <w:gridCol w:w="1968"/>
        <w:gridCol w:w="1905"/>
        <w:gridCol w:w="1897"/>
        <w:gridCol w:w="1905"/>
      </w:tblGrid>
      <w:tr w14:paraId="13BA3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21EBE">
            <w:pPr>
              <w:spacing w:after="4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38710">
            <w:pPr>
              <w:spacing w:after="4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英文名称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5DC29">
            <w:pPr>
              <w:spacing w:after="4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中文名称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7E60E">
            <w:pPr>
              <w:spacing w:after="4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数据集标签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E11BB">
            <w:pPr>
              <w:spacing w:after="4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严重度</w:t>
            </w:r>
          </w:p>
        </w:tc>
      </w:tr>
      <w:tr w14:paraId="3ED35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2198C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52636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crazing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4FFE6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裂纹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87CA1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CRACK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51FB1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严重</w:t>
            </w:r>
          </w:p>
        </w:tc>
      </w:tr>
      <w:tr w14:paraId="1A3A1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DD59A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0DAE1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inclusion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1AF6D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夹杂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54409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INCL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351C9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中等</w:t>
            </w:r>
          </w:p>
        </w:tc>
      </w:tr>
      <w:tr w14:paraId="259A3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57C13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F0984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patches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1C614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斑块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BB284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PATCH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7862A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中等</w:t>
            </w:r>
          </w:p>
        </w:tc>
      </w:tr>
      <w:tr w14:paraId="706FB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704F1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E9422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pitted_surface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699BE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麻点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63F41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PIT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A8B8F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轻微</w:t>
            </w:r>
          </w:p>
        </w:tc>
      </w:tr>
      <w:tr w14:paraId="6CF6A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B6572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9326F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rolled-in_scale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7C030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氧化皮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FB5D2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SCALE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FB4AD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中等</w:t>
            </w:r>
          </w:p>
        </w:tc>
      </w:tr>
      <w:tr w14:paraId="7739F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874BB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E60CB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scratches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AC559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划痕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D90BA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SCR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47A5B">
            <w:pPr>
              <w:spacing w:after="40"/>
            </w:pPr>
            <w:r>
              <w:rPr>
                <w:rFonts w:ascii="Arial" w:hAnsi="Arial" w:eastAsia="微软雅黑"/>
                <w:sz w:val="20"/>
                <w:szCs w:val="20"/>
              </w:rPr>
              <w:t>严重</w:t>
            </w:r>
          </w:p>
        </w:tc>
      </w:tr>
    </w:tbl>
    <w:p w14:paraId="73DC4F5C">
      <w:pPr>
        <w:pStyle w:val="3"/>
      </w:pPr>
      <w:r>
        <w:t>7.2 数据库设计</w:t>
      </w:r>
    </w:p>
    <w:p w14:paraId="39403456">
      <w:pPr>
        <w:spacing w:after="120" w:line="360" w:lineRule="auto"/>
      </w:pPr>
      <w:r>
        <w:t>核心数据表 inspection_records 字段：</w:t>
      </w:r>
    </w:p>
    <w:p w14:paraId="3E80199C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id: INTEGER PRIMARY KEY 自增主键</w:t>
      </w:r>
    </w:p>
    <w:p w14:paraId="36CC727E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engine: TEXT 检测引擎类型（yolo/vlm）</w:t>
      </w:r>
    </w:p>
    <w:p w14:paraId="65E9776D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image_path: TEXT 原图存储路径</w:t>
      </w:r>
    </w:p>
    <w:p w14:paraId="74AE7BCC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created_at: TIMESTAMP 检测时间（已建索引）</w:t>
      </w:r>
    </w:p>
    <w:p w14:paraId="267A373E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reviewed_at: TIMESTAMP 审核时间</w:t>
      </w:r>
    </w:p>
    <w:p w14:paraId="6915D609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detections: TEXT 缺陷 JSON 结果</w:t>
      </w:r>
    </w:p>
    <w:p w14:paraId="32BA8460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is_reviewed: BOOLEAN 审核状态（已建索引）</w:t>
      </w:r>
    </w:p>
    <w:p w14:paraId="7123A461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reviewer: TEXT 审核人</w:t>
      </w:r>
    </w:p>
    <w:p w14:paraId="233B47AB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note: TEXT 审核备注</w:t>
      </w:r>
    </w:p>
    <w:p w14:paraId="7E487915">
      <w:pPr>
        <w:pStyle w:val="3"/>
      </w:pPr>
      <w:r>
        <w:t>7.3 数据存储规则</w:t>
      </w:r>
    </w:p>
    <w:p w14:paraId="77ECAD74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原图：本地文件系统存储</w:t>
      </w:r>
    </w:p>
    <w:p w14:paraId="02D32D8C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检测元数据：加密存入 SQLite（SQLCipher）</w:t>
      </w:r>
    </w:p>
    <w:p w14:paraId="43558C9A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Bad Case 样本：按缺陷类型自动归档</w:t>
      </w:r>
    </w:p>
    <w:p w14:paraId="027DDA5A">
      <w:pPr>
        <w:pStyle w:val="2"/>
      </w:pPr>
      <w:r>
        <w:t>八、项目约束条件</w:t>
      </w:r>
    </w:p>
    <w:p w14:paraId="031BABD5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硬件约束：部署在现有工控机（CPU 推理模式），可扩展至 RTX4060 GPU</w:t>
      </w:r>
    </w:p>
    <w:p w14:paraId="1D46B9F1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网络约束：厂区封闭内网，仅 VLM 调用时边缘网关临时访问外网</w:t>
      </w:r>
    </w:p>
    <w:p w14:paraId="6FE1DA47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样本约束：采用 NEU-DET 公开数据集（1800 张/6 类缺陷），支持迁移学习</w:t>
      </w:r>
    </w:p>
    <w:p w14:paraId="288BDC87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技术约束：OpenCV 不支持中文字体渲染，采用英文缩写映射方案</w:t>
      </w:r>
    </w:p>
    <w:p w14:paraId="0FF544D9">
      <w:pPr>
        <w:pStyle w:val="2"/>
      </w:pPr>
      <w:r>
        <w:t>九、测试验收需求</w:t>
      </w:r>
    </w:p>
    <w:p w14:paraId="7EC56E42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单元测试：检测引擎 JSON 格式校验、数据库 CRUD 事务测试</w:t>
      </w:r>
    </w:p>
    <w:p w14:paraId="3D5409ED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集成测试：图片上传→AI 检测→人工审核→数据导出全链路闭环</w:t>
      </w:r>
    </w:p>
    <w:p w14:paraId="2A0E6A47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性能压测：批量图片连续处理</w:t>
      </w:r>
    </w:p>
    <w:p w14:paraId="0955A802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异常测试：VLM API 超时/失败降级、RAG API 错误过滤</w:t>
      </w:r>
    </w:p>
    <w:p w14:paraId="236DFE7A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UAT 验收：5 名资深质检员现场试用 7 个工作日</w:t>
      </w:r>
    </w:p>
    <w:p w14:paraId="372A7FBB">
      <w:pPr>
        <w:pStyle w:val="2"/>
      </w:pPr>
      <w:r>
        <w:t>十、上线部署需求</w:t>
      </w:r>
    </w:p>
    <w:p w14:paraId="1A3AA23F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部署方式：Python 3.8+ 环境，Gradio 启动，支持 Windows 系统服务托管</w:t>
      </w:r>
    </w:p>
    <w:p w14:paraId="3934696A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外网访问：通过 Gradio share=True 生成公网临时链接</w:t>
      </w:r>
    </w:p>
    <w:p w14:paraId="51A7111C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上线策略：灰度上线，单条产线试运行 7 天后全产线推广</w:t>
      </w:r>
    </w:p>
    <w:p w14:paraId="663A76EB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交付物：系统源码 + 用户操作手册 + .env 配置说明</w:t>
      </w:r>
    </w:p>
    <w:p w14:paraId="57F83DCA">
      <w:pPr>
        <w:pStyle w:val="2"/>
      </w:pPr>
      <w:r>
        <w:t>十一、风险及应对需求</w:t>
      </w:r>
    </w:p>
    <w:p w14:paraId="4517B812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小目标缺陷漏检风险：可配置高分辨率输入 + 低置信阈值</w:t>
      </w:r>
    </w:p>
    <w:p w14:paraId="79B148AE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VLM 接口不稳定：本地缓存 + 自动降级为 LocalAnalyzer</w:t>
      </w:r>
    </w:p>
    <w:p w14:paraId="4E97C0A9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API 密钥失效：RAG/VLM 功能静默降级，本地知识库兜底</w:t>
      </w:r>
    </w:p>
    <w:p w14:paraId="161110D8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中文显示异常：OpenCV 标签采用英文缩写映射</w:t>
      </w:r>
    </w:p>
    <w:p w14:paraId="3CF626FA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端口冲突：启动时自动检测并释放端口</w:t>
      </w:r>
    </w:p>
    <w:p w14:paraId="6992385E">
      <w:pPr>
        <w:pStyle w:val="2"/>
      </w:pPr>
      <w:r>
        <w:t>十二、系统实现亮点与技术特色</w:t>
      </w:r>
    </w:p>
    <w:p w14:paraId="0BAF5A29">
      <w:pPr>
        <w:pStyle w:val="3"/>
      </w:pPr>
      <w:r>
        <w:t>12.1 双引擎协同架构</w:t>
      </w:r>
    </w:p>
    <w:p w14:paraId="6A09870C">
      <w:pPr>
        <w:spacing w:after="120" w:line="360" w:lineRule="auto"/>
      </w:pPr>
      <w:r>
        <w:t>系统采用 YOLO + VLM 双引擎协同检测架构，充分发挥两种 AI 技术的互补优势。YOLO 负责毫秒级快速筛查，VLM 负责语义级精细复核，形成"快筛+精审"的高效检测流水线。</w:t>
      </w:r>
    </w:p>
    <w:p w14:paraId="0A6ADCAE">
      <w:pPr>
        <w:pStyle w:val="3"/>
      </w:pPr>
      <w:r>
        <w:t>12.2 多层级容错降级</w:t>
      </w:r>
    </w:p>
    <w:p w14:paraId="6F4E0233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VLM API 超时/故障 → 自动切换 LocalAnalyzer 本地图像分析</w:t>
      </w:r>
    </w:p>
    <w:p w14:paraId="73421CB9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RAG API 认证失败 → 静默跳过，仅展示本地知识库</w:t>
      </w:r>
    </w:p>
    <w:p w14:paraId="1744E8C9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端口占用 → 启动时自动释放冲突端口</w:t>
      </w:r>
    </w:p>
    <w:p w14:paraId="61AD443F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模型加载异常 → 详细错误日志，避免进程崩溃</w:t>
      </w:r>
    </w:p>
    <w:p w14:paraId="3FEE2006">
      <w:pPr>
        <w:pStyle w:val="3"/>
      </w:pPr>
      <w:r>
        <w:t>12.3 中文兼容性解决方案</w:t>
      </w:r>
    </w:p>
    <w:p w14:paraId="5A1A95E6">
      <w:pPr>
        <w:spacing w:after="120" w:line="360" w:lineRule="auto"/>
      </w:pPr>
      <w:r>
        <w:t>针对 OpenCV cv2.putText 不支持中文字符渲染的技术限制，系统采用 CN_LABEL_MAP 英文缩写映射方案，将 6 类缺陷中文名映射为简洁英文缩写（如"裂纹"→"CRACK"），确保检测标注框文字清晰可辨。</w:t>
      </w:r>
    </w:p>
    <w:p w14:paraId="53AF7696">
      <w:pPr>
        <w:pStyle w:val="3"/>
      </w:pPr>
      <w:r>
        <w:t>12.4 一体化滚动分析面板</w:t>
      </w:r>
    </w:p>
    <w:p w14:paraId="3BECB51A">
      <w:pPr>
        <w:spacing w:after="120" w:line="360" w:lineRule="auto"/>
      </w:pPr>
      <w:r>
        <w:t>系统将检测报告、严重度分级、RAG 根因分析、Bad Case 收集四大分析面板整合为单个可滚动窗口（max-height: 580px, overflow-y: auto），用户通过鼠标滚轮即可一览全部分析结果，减少页面纵向长度，提升操作效率。</w:t>
      </w:r>
    </w:p>
    <w:p w14:paraId="420AAD72">
      <w:pPr>
        <w:pStyle w:val="3"/>
      </w:pPr>
      <w:r>
        <w:t>12.5 科技感深色主题 UI</w:t>
      </w:r>
    </w:p>
    <w:p w14:paraId="68FAA1A8">
      <w:pPr>
        <w:spacing w:after="120" w:line="360" w:lineRule="auto"/>
      </w:pPr>
      <w:r>
        <w:t>系统采用自定义 CSS 深色科技风格主题，包含：网格背景纹理、辐射渐变光效、玻璃拟态（glass morphism）登录卡片、半透明蓝色滚动条、高对比度文字配色方案，白色卡片区域强制深色文字，确保所有信息清晰可读。</w:t>
      </w:r>
    </w:p>
    <w:sectPr>
      <w:headerReference r:id="rId3" w:type="default"/>
      <w:footerReference r:id="rId4" w:type="default"/>
      <w:pgSz w:w="11906" w:h="16838"/>
      <w:pgMar w:top="1440" w:right="1440" w:bottom="12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BFC12A"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836F95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351F0C">
                          <w:pPr>
                            <w:jc w:val="right"/>
                          </w:pPr>
                          <w:r>
                            <w:rPr>
                              <w:rFonts w:ascii="Arial" w:hAnsi="Arial" w:eastAsia="宋体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MHhyRzCAQAAkw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13351F0C">
                    <w:pPr>
                      <w:jc w:val="right"/>
                    </w:pPr>
                    <w:r>
                      <w:rPr>
                        <w:rFonts w:ascii="Arial" w:hAnsi="Arial" w:eastAsia="宋体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TRAE AI 生成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D855718"/>
    <w:rsid w:val="51593B78"/>
    <w:rsid w:val="52843594"/>
    <w:rsid w:val="640B54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2"/>
      <w:szCs w:val="22"/>
    </w:rPr>
  </w:style>
  <w:style w:type="paragraph" w:styleId="2">
    <w:name w:val="heading 1"/>
    <w:next w:val="1"/>
    <w:qFormat/>
    <w:uiPriority w:val="0"/>
    <w:pPr>
      <w:keepNext w:val="0"/>
      <w:keepLines w:val="0"/>
      <w:spacing w:before="360" w:after="200"/>
      <w:outlineLvl w:val="0"/>
    </w:pPr>
    <w:rPr>
      <w:rFonts w:ascii="Arial" w:hAnsi="Arial" w:eastAsia="微软雅黑"/>
      <w:b/>
      <w:bCs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280" w:after="160"/>
      <w:outlineLvl w:val="1"/>
    </w:pPr>
    <w:rPr>
      <w:rFonts w:ascii="Arial" w:hAnsi="Arial" w:eastAsia="微软雅黑"/>
      <w:b/>
      <w:bCs/>
      <w:sz w:val="28"/>
      <w:szCs w:val="28"/>
    </w:rPr>
  </w:style>
  <w:style w:type="paragraph" w:styleId="4">
    <w:name w:val="heading 3"/>
    <w:next w:val="1"/>
    <w:qFormat/>
    <w:uiPriority w:val="0"/>
    <w:pPr>
      <w:keepNext w:val="0"/>
      <w:keepLines w:val="0"/>
      <w:spacing w:before="200" w:after="120"/>
      <w:outlineLvl w:val="2"/>
    </w:pPr>
    <w:rPr>
      <w:rFonts w:ascii="Arial" w:hAnsi="Arial" w:eastAsia="微软雅黑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  <w:style w:type="paragraph" w:customStyle="1" w:styleId="19">
    <w:name w:val="分类号"/>
    <w:basedOn w:val="1"/>
    <w:qFormat/>
    <w:uiPriority w:val="0"/>
    <w:rPr>
      <w:rFonts w:ascii="仿宋_GB2312" w:hAnsi="Times New Roman" w:eastAsia="仿宋_GB2312" w:cs="Times New Roman"/>
      <w:sz w:val="28"/>
      <w:szCs w:val="28"/>
    </w:rPr>
  </w:style>
  <w:style w:type="paragraph" w:customStyle="1" w:styleId="20">
    <w:name w:val="硕士学位论文"/>
    <w:basedOn w:val="1"/>
    <w:qFormat/>
    <w:uiPriority w:val="0"/>
    <w:pPr>
      <w:spacing w:before="240"/>
      <w:jc w:val="center"/>
    </w:pPr>
    <w:rPr>
      <w:rFonts w:ascii="Times New Roman" w:hAnsi="Times New Roman" w:eastAsia="宋体" w:cs="Times New Roman"/>
      <w:sz w:val="44"/>
      <w:szCs w:val="44"/>
    </w:rPr>
  </w:style>
  <w:style w:type="paragraph" w:customStyle="1" w:styleId="21">
    <w:name w:val="封面日期"/>
    <w:basedOn w:val="1"/>
    <w:qFormat/>
    <w:uiPriority w:val="0"/>
    <w:pPr>
      <w:jc w:val="center"/>
    </w:pPr>
    <w:rPr>
      <w:rFonts w:ascii="黑体" w:hAnsi="Times New Roman" w:eastAsia="黑体" w:cs="Times New Roman"/>
      <w:sz w:val="32"/>
      <w:szCs w:val="32"/>
    </w:rPr>
  </w:style>
  <w:style w:type="paragraph" w:customStyle="1" w:styleId="22">
    <w:name w:val="研究生姓名"/>
    <w:basedOn w:val="1"/>
    <w:qFormat/>
    <w:uiPriority w:val="0"/>
    <w:pPr>
      <w:ind w:firstLine="700" w:firstLineChars="700"/>
    </w:pPr>
    <w:rPr>
      <w:rFonts w:ascii="Times New Roman" w:hAnsi="Times New Roman" w:eastAsia="宋体" w:cs="Times New Roman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1316</Words>
  <Characters>1600</Characters>
  <TotalTime>1</TotalTime>
  <ScaleCrop>false</ScaleCrop>
  <LinksUpToDate>false</LinksUpToDate>
  <CharactersWithSpaces>1714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2026-06-09T01:47:00Z</dcterms:created>
  <dc:creator>Un-named</dc:creator>
  <cp:lastModifiedBy>暗淡无光</cp:lastModifiedBy>
  <dcterms:modified xsi:type="dcterms:W3CDTF">2026-06-09T02:51:09Z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eyJoZGlkIjoiMDU5NzcwMGRiM2VkNzRlY2UzNDMyM2EwYjQ1NGFjNDEiLCJ1c2VySWQiOiIzNTU4NTUxMjkifQ==</vt:lpwstr>
  </property>
  <property fmtid="{D5CDD505-2E9C-101B-9397-08002B2CF9AE}" pid="3" name="KSOProductBuildVer">
    <vt:lpwstr>2052-12.1.0.26375</vt:lpwstr>
  </property>
  <property fmtid="{D5CDD505-2E9C-101B-9397-08002B2CF9AE}" pid="4" name="ICV">
    <vt:lpwstr>AC1982CCBEED498BA04CDAA569268601_12</vt:lpwstr>
  </property>
</Properties>
</file>