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64"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Executive Memo</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Executive Summary</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nl-NL"/>
        </w:rPr>
        <w:t xml:space="preserve">Over </w:t>
      </w:r>
      <w:r>
        <w:rPr>
          <w:rFonts w:ascii="Times New Roman" w:hAnsi="Times New Roman"/>
          <w:sz w:val="24"/>
          <w:szCs w:val="24"/>
          <w:rtl w:val="0"/>
          <w:lang w:val="en-US"/>
        </w:rPr>
        <w:t xml:space="preserve">the past </w:t>
      </w:r>
      <w:r>
        <w:rPr>
          <w:rFonts w:ascii="Times New Roman" w:hAnsi="Times New Roman"/>
          <w:sz w:val="24"/>
          <w:szCs w:val="24"/>
          <w:rtl w:val="0"/>
          <w:lang w:val="en-US"/>
        </w:rPr>
        <w:t>four</w:t>
      </w:r>
      <w:r>
        <w:rPr>
          <w:rFonts w:ascii="Times New Roman" w:hAnsi="Times New Roman"/>
          <w:sz w:val="24"/>
          <w:szCs w:val="24"/>
          <w:rtl w:val="0"/>
          <w:lang w:val="en-US"/>
        </w:rPr>
        <w:t xml:space="preserve"> </w:t>
      </w:r>
      <w:r>
        <w:rPr>
          <w:rFonts w:ascii="Times New Roman" w:hAnsi="Times New Roman"/>
          <w:sz w:val="24"/>
          <w:szCs w:val="24"/>
          <w:rtl w:val="0"/>
          <w:lang w:val="nl-NL"/>
        </w:rPr>
        <w:t>week</w:t>
      </w:r>
      <w:r>
        <w:rPr>
          <w:rFonts w:ascii="Times New Roman" w:hAnsi="Times New Roman"/>
          <w:sz w:val="24"/>
          <w:szCs w:val="24"/>
          <w:rtl w:val="0"/>
          <w:lang w:val="en-US"/>
        </w:rPr>
        <w:t>s</w:t>
      </w:r>
      <w:r>
        <w:rPr>
          <w:rFonts w:ascii="Times New Roman" w:hAnsi="Times New Roman"/>
          <w:sz w:val="24"/>
          <w:szCs w:val="24"/>
          <w:rtl w:val="0"/>
          <w:lang w:val="en-US"/>
        </w:rPr>
        <w:t>, public demographic, labor</w:t>
      </w:r>
      <w:r>
        <w:rPr>
          <w:rFonts w:ascii="Times New Roman" w:hAnsi="Times New Roman"/>
          <w:sz w:val="24"/>
          <w:szCs w:val="24"/>
          <w:rtl w:val="0"/>
          <w:lang w:val="en-US"/>
        </w:rPr>
        <w:t xml:space="preserve"> </w:t>
      </w:r>
      <w:r>
        <w:rPr>
          <w:rFonts w:ascii="Times New Roman" w:hAnsi="Times New Roman"/>
          <w:sz w:val="24"/>
          <w:szCs w:val="24"/>
          <w:rtl w:val="0"/>
          <w:lang w:val="en-US"/>
        </w:rPr>
        <w:t>market, educational, industry, and competitor data were analyzed to evaluate commercial opportunities for three InGen Dynamics products: Fari (eldercare robotics), Sentinel Prime AI (physical</w:t>
      </w:r>
      <w:r>
        <w:rPr>
          <w:rFonts w:ascii="Times New Roman" w:hAnsi="Times New Roman"/>
          <w:sz w:val="24"/>
          <w:szCs w:val="24"/>
          <w:rtl w:val="0"/>
          <w:lang w:val="en-US"/>
        </w:rPr>
        <w:t xml:space="preserve"> </w:t>
      </w:r>
      <w:r>
        <w:rPr>
          <w:rFonts w:ascii="Times New Roman" w:hAnsi="Times New Roman"/>
          <w:sz w:val="24"/>
          <w:szCs w:val="24"/>
          <w:rtl w:val="0"/>
          <w:lang w:val="en-US"/>
        </w:rPr>
        <w:t>security intelligence), and Senpai (educational AI).</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The analysis identified meaningful opportunities across all three verticals, although each operates on a different </w:t>
      </w:r>
      <w:r>
        <w:rPr>
          <w:rFonts w:ascii="Times New Roman" w:hAnsi="Times New Roman"/>
          <w:sz w:val="24"/>
          <w:szCs w:val="24"/>
          <w:rtl w:val="0"/>
          <w:lang w:val="en-US"/>
        </w:rPr>
        <w:t>market</w:t>
      </w: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Sentinel Prime AI represents the largest commercial opportunity. The U</w:t>
      </w:r>
      <w:r>
        <w:rPr>
          <w:rFonts w:ascii="Times New Roman" w:hAnsi="Times New Roman"/>
          <w:sz w:val="24"/>
          <w:szCs w:val="24"/>
          <w:rtl w:val="0"/>
          <w:lang w:val="en-US"/>
        </w:rPr>
        <w:t>S</w:t>
      </w:r>
      <w:r>
        <w:rPr>
          <w:rFonts w:ascii="Times New Roman" w:hAnsi="Times New Roman"/>
          <w:sz w:val="24"/>
          <w:szCs w:val="24"/>
          <w:rtl w:val="0"/>
          <w:lang w:val="en-US"/>
        </w:rPr>
        <w:t xml:space="preserve"> physical</w:t>
      </w:r>
      <w:r>
        <w:rPr>
          <w:rFonts w:ascii="Times New Roman" w:hAnsi="Times New Roman"/>
          <w:sz w:val="24"/>
          <w:szCs w:val="24"/>
          <w:rtl w:val="0"/>
          <w:lang w:val="en-US"/>
        </w:rPr>
        <w:t xml:space="preserve"> </w:t>
      </w:r>
      <w:r>
        <w:rPr>
          <w:rFonts w:ascii="Times New Roman" w:hAnsi="Times New Roman"/>
          <w:sz w:val="24"/>
          <w:szCs w:val="24"/>
          <w:rtl w:val="0"/>
          <w:lang w:val="en-US"/>
        </w:rPr>
        <w:t>security market exhibits strong spending levels, increasing operational complexity, labor constraints, and growing adoption of AI-driven monitoring technologies. The</w:t>
      </w:r>
      <w:r>
        <w:rPr>
          <w:rFonts w:ascii="Times New Roman" w:hAnsi="Times New Roman"/>
          <w:sz w:val="24"/>
          <w:szCs w:val="24"/>
          <w:rtl w:val="0"/>
          <w:lang w:val="en-US"/>
        </w:rPr>
        <w:t xml:space="preserve"> week 2</w:t>
      </w:r>
      <w:r>
        <w:rPr>
          <w:rFonts w:ascii="Times New Roman" w:hAnsi="Times New Roman"/>
          <w:sz w:val="24"/>
          <w:szCs w:val="24"/>
          <w:rtl w:val="0"/>
        </w:rPr>
        <w:t xml:space="preserve"> </w:t>
      </w:r>
      <w:r>
        <w:rPr>
          <w:rFonts w:ascii="Times New Roman" w:hAnsi="Times New Roman"/>
          <w:sz w:val="24"/>
          <w:szCs w:val="24"/>
          <w:rtl w:val="0"/>
          <w:lang w:val="en-US"/>
        </w:rPr>
        <w:t xml:space="preserve">market </w:t>
      </w:r>
      <w:r>
        <w:rPr>
          <w:rFonts w:ascii="Times New Roman" w:hAnsi="Times New Roman"/>
          <w:sz w:val="24"/>
          <w:szCs w:val="24"/>
          <w:rtl w:val="0"/>
          <w:lang w:val="en-US"/>
        </w:rPr>
        <w:t>analysis estimates a Total Addressable Market (TAM) of approximately $43.4 billion and a Serviceable Available Market (SAM) of approximately $34.0 billion</w:t>
      </w:r>
      <w:r>
        <w:rPr>
          <w:rFonts w:ascii="Times New Roman" w:hAnsi="Times New Roman"/>
          <w:sz w:val="24"/>
          <w:szCs w:val="24"/>
          <w:rtl w:val="0"/>
          <w:lang w:val="en-US"/>
        </w:rPr>
        <w:t>, after taking into account the use of AI by organizations</w:t>
      </w: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Fari addresses longterm demographic and labor</w:t>
      </w:r>
      <w:r>
        <w:rPr>
          <w:rFonts w:ascii="Times New Roman" w:hAnsi="Times New Roman"/>
          <w:sz w:val="24"/>
          <w:szCs w:val="24"/>
          <w:rtl w:val="0"/>
          <w:lang w:val="en-US"/>
        </w:rPr>
        <w:t xml:space="preserve"> </w:t>
      </w:r>
      <w:r>
        <w:rPr>
          <w:rFonts w:ascii="Times New Roman" w:hAnsi="Times New Roman"/>
          <w:sz w:val="24"/>
          <w:szCs w:val="24"/>
          <w:rtl w:val="0"/>
          <w:lang w:val="en-US"/>
        </w:rPr>
        <w:t>force trends driven by population aging and caregiver shortages. The analysis estimates a reconciled TAM of approximately 12.3 million potential users and a SAM of approximately 5.2 million</w:t>
      </w:r>
      <w:r>
        <w:rPr>
          <w:rFonts w:ascii="Times New Roman" w:hAnsi="Times New Roman"/>
          <w:sz w:val="24"/>
          <w:szCs w:val="24"/>
          <w:rtl w:val="0"/>
          <w:lang w:val="en-US"/>
        </w:rPr>
        <w:t xml:space="preserve"> considering</w:t>
      </w:r>
      <w:r>
        <w:rPr>
          <w:rFonts w:ascii="Times New Roman" w:hAnsi="Times New Roman"/>
          <w:sz w:val="24"/>
          <w:szCs w:val="24"/>
          <w:rtl w:val="0"/>
          <w:lang w:val="en-US"/>
        </w:rPr>
        <w:t xml:space="preserve"> seniors living alone. Demand is expected to grow as healthcare systems face increasing workforce constraints and seniors seek technologies that support independent living.</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Senpai addresses a large educational market characterized by staffing shortages and increasing interest in personalized learning. Clustering analysis suggests that infrastructure readiness and institutional capacity are stronger predictors of educational AI adoption than demand alone. Among the countries analyzed, the United States emerged as the most attractive initial market due to its</w:t>
      </w:r>
      <w:r>
        <w:rPr>
          <w:rFonts w:ascii="Times New Roman" w:hAnsi="Times New Roman"/>
          <w:sz w:val="24"/>
          <w:szCs w:val="24"/>
          <w:rtl w:val="0"/>
          <w:lang w:val="en-US"/>
        </w:rPr>
        <w:t xml:space="preserve"> large</w:t>
      </w:r>
      <w:r>
        <w:rPr>
          <w:rFonts w:ascii="Times New Roman" w:hAnsi="Times New Roman"/>
          <w:sz w:val="24"/>
          <w:szCs w:val="24"/>
          <w:rtl w:val="0"/>
          <w:lang w:val="en-US"/>
        </w:rPr>
        <w:t xml:space="preserve"> scale, technology readiness, and teacher</w:t>
      </w:r>
      <w:r>
        <w:rPr>
          <w:rFonts w:ascii="Times New Roman" w:hAnsi="Times New Roman"/>
          <w:sz w:val="24"/>
          <w:szCs w:val="24"/>
          <w:rtl w:val="0"/>
          <w:lang w:val="en-US"/>
        </w:rPr>
        <w:t xml:space="preserve"> </w:t>
      </w:r>
      <w:r>
        <w:rPr>
          <w:rFonts w:ascii="Times New Roman" w:hAnsi="Times New Roman"/>
          <w:sz w:val="24"/>
          <w:szCs w:val="24"/>
          <w:rtl w:val="0"/>
          <w:lang w:val="en-US"/>
        </w:rPr>
        <w:t>capacity challenges.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Across all three verticals, InGen</w:t>
      </w:r>
      <w:r>
        <w:rPr>
          <w:rFonts w:ascii="Times New Roman" w:hAnsi="Times New Roman" w:hint="default"/>
          <w:sz w:val="24"/>
          <w:szCs w:val="24"/>
          <w:rtl w:val="0"/>
          <w:lang w:val="en-US"/>
        </w:rPr>
        <w:t>’</w:t>
      </w:r>
      <w:r>
        <w:rPr>
          <w:rFonts w:ascii="Times New Roman" w:hAnsi="Times New Roman"/>
          <w:sz w:val="24"/>
          <w:szCs w:val="24"/>
          <w:rtl w:val="0"/>
          <w:lang w:val="en-US"/>
        </w:rPr>
        <w:t>s strongest differentiator is the integration of multiple sensing technologies, on-device AI processing, embedded safety and governance controls, and a common AI platform architecture. While competitors often focus on a single capability, InGen products are positioned as integrated platforms capable of addressing multiple customer needs simultaneously.</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Vertical Findings</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rPr>
        <w:t>Fari</w:t>
      </w:r>
      <w:r>
        <w:rPr>
          <w:rFonts w:ascii="Times New Roman" w:hAnsi="Times New Roman"/>
          <w:b w:val="1"/>
          <w:bCs w:val="1"/>
          <w:sz w:val="24"/>
          <w:szCs w:val="24"/>
          <w:rtl w:val="0"/>
          <w:lang w:val="en-US"/>
        </w:rPr>
        <w:t xml:space="preserve">: </w:t>
      </w:r>
      <w:r>
        <w:rPr>
          <w:rFonts w:ascii="Times New Roman" w:hAnsi="Times New Roman"/>
          <w:b w:val="1"/>
          <w:bCs w:val="1"/>
          <w:sz w:val="24"/>
          <w:szCs w:val="24"/>
          <w:rtl w:val="0"/>
          <w:lang w:val="it-IT"/>
        </w:rPr>
        <w:t>Eldercare Robotics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eldercare market is supported by several longterm structural drivers including population aging, increasing caregiver shortages, rising care costs, and growing technology adoption among older adults.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United States currently has more than 61 million residents aged 65 and older. Technology readiness among seniors continues to increase, with strong smartphone ownership and growing interest in AI-enabled technologies. At the same time, home</w:t>
      </w:r>
      <w:r>
        <w:rPr>
          <w:rFonts w:ascii="Times New Roman" w:hAnsi="Times New Roman"/>
          <w:sz w:val="24"/>
          <w:szCs w:val="24"/>
          <w:rtl w:val="0"/>
          <w:lang w:val="en-US"/>
        </w:rPr>
        <w:t xml:space="preserve"> </w:t>
      </w:r>
      <w:r>
        <w:rPr>
          <w:rFonts w:ascii="Times New Roman" w:hAnsi="Times New Roman"/>
          <w:sz w:val="24"/>
          <w:szCs w:val="24"/>
          <w:rtl w:val="0"/>
          <w:lang w:val="en-US"/>
        </w:rPr>
        <w:t>health and personal</w:t>
      </w:r>
      <w:r>
        <w:rPr>
          <w:rFonts w:ascii="Times New Roman" w:hAnsi="Times New Roman"/>
          <w:sz w:val="24"/>
          <w:szCs w:val="24"/>
          <w:rtl w:val="0"/>
          <w:lang w:val="en-US"/>
        </w:rPr>
        <w:t xml:space="preserve"> </w:t>
      </w:r>
      <w:r>
        <w:rPr>
          <w:rFonts w:ascii="Times New Roman" w:hAnsi="Times New Roman"/>
          <w:sz w:val="24"/>
          <w:szCs w:val="24"/>
          <w:rtl w:val="0"/>
          <w:lang w:val="en-US"/>
        </w:rPr>
        <w:t>care occupations are projected to experience substantial workforce shortages over the next decade.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competitive landscape remains fragmented. Existing solutions typically focus on a narrow function such as companionship, health coaching, mobility assistance, or emotional support. Fari</w:t>
      </w:r>
      <w:r>
        <w:rPr>
          <w:rFonts w:ascii="Times New Roman" w:hAnsi="Times New Roman" w:hint="default"/>
          <w:sz w:val="24"/>
          <w:szCs w:val="24"/>
          <w:rtl w:val="0"/>
          <w:lang w:val="en-US"/>
        </w:rPr>
        <w:t>’</w:t>
      </w:r>
      <w:r>
        <w:rPr>
          <w:rFonts w:ascii="Times New Roman" w:hAnsi="Times New Roman"/>
          <w:sz w:val="24"/>
          <w:szCs w:val="24"/>
          <w:rtl w:val="0"/>
          <w:lang w:val="en-US"/>
        </w:rPr>
        <w:t>s integrated combination of companionship, monitoring, safety, and clinical</w:t>
      </w:r>
      <w:r>
        <w:rPr>
          <w:rFonts w:ascii="Times New Roman" w:hAnsi="Times New Roman"/>
          <w:sz w:val="24"/>
          <w:szCs w:val="24"/>
          <w:rtl w:val="0"/>
          <w:lang w:val="en-US"/>
        </w:rPr>
        <w:t xml:space="preserve"> </w:t>
      </w:r>
      <w:r>
        <w:rPr>
          <w:rFonts w:ascii="Times New Roman" w:hAnsi="Times New Roman"/>
          <w:sz w:val="24"/>
          <w:szCs w:val="24"/>
          <w:rtl w:val="0"/>
          <w:lang w:val="en-US"/>
        </w:rPr>
        <w:t>support capabilities positions it differently from many current offerings.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primary risks include affordability, trust, technology adoption barriers, and concerns regarding replacement of human care.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Sentinel Prime AI</w:t>
      </w:r>
      <w:r>
        <w:rPr>
          <w:rFonts w:ascii="Times New Roman" w:hAnsi="Times New Roman"/>
          <w:b w:val="1"/>
          <w:bCs w:val="1"/>
          <w:sz w:val="24"/>
          <w:szCs w:val="24"/>
          <w:rtl w:val="0"/>
          <w:lang w:val="en-US"/>
        </w:rPr>
        <w:t xml:space="preserve">: </w:t>
      </w:r>
      <w:r>
        <w:rPr>
          <w:rFonts w:ascii="Times New Roman" w:hAnsi="Times New Roman"/>
          <w:b w:val="1"/>
          <w:bCs w:val="1"/>
          <w:sz w:val="24"/>
          <w:szCs w:val="24"/>
          <w:rtl w:val="0"/>
          <w:lang w:val="en-US"/>
        </w:rPr>
        <w:t>Physical Security Intelligence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Physical security represents the largest quantified commercial opportunity identified during the </w:t>
      </w:r>
      <w:r>
        <w:rPr>
          <w:rFonts w:ascii="Times New Roman" w:hAnsi="Times New Roman"/>
          <w:sz w:val="24"/>
          <w:szCs w:val="24"/>
          <w:rtl w:val="0"/>
          <w:lang w:val="en-US"/>
        </w:rPr>
        <w:t>analysis</w:t>
      </w: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market is being shaped by increasing security complexity, labor shortages, rising operational costs, and expanding adoption of AI-powered surveillance and analytics systems. Organizations increasingly require systems capable of processing large volumes of security data while reducing operator workload.</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Sentinel Prime AI occupies a hybrid position between AI video analytics platforms and robotic security systems. The platform</w:t>
      </w:r>
      <w:r>
        <w:rPr>
          <w:rFonts w:ascii="Times New Roman" w:hAnsi="Times New Roman" w:hint="default"/>
          <w:sz w:val="24"/>
          <w:szCs w:val="24"/>
          <w:rtl w:val="0"/>
          <w:lang w:val="en-US"/>
        </w:rPr>
        <w:t>’</w:t>
      </w:r>
      <w:r>
        <w:rPr>
          <w:rFonts w:ascii="Times New Roman" w:hAnsi="Times New Roman"/>
          <w:sz w:val="24"/>
          <w:szCs w:val="24"/>
          <w:rtl w:val="0"/>
          <w:lang w:val="en-US"/>
        </w:rPr>
        <w:t>s multimodal sensor architecture, uncertainty-aware alerting, edge deployment model, and governance framework provide meaningful differentiation relative to conventional surveillance solutions.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primary risks involve privacy concerns, trust in AI</w:t>
      </w:r>
      <w:r>
        <w:rPr>
          <w:rFonts w:ascii="Times New Roman" w:hAnsi="Times New Roman"/>
          <w:sz w:val="24"/>
          <w:szCs w:val="24"/>
          <w:rtl w:val="0"/>
          <w:lang w:val="en-US"/>
        </w:rPr>
        <w:t xml:space="preserve"> </w:t>
      </w:r>
      <w:r>
        <w:rPr>
          <w:rFonts w:ascii="Times New Roman" w:hAnsi="Times New Roman"/>
          <w:sz w:val="24"/>
          <w:szCs w:val="24"/>
          <w:rtl w:val="0"/>
          <w:lang w:val="en-US"/>
        </w:rPr>
        <w:t>generated decisions, regulatory considerations, and the need to demonstrate measurable reductions in false positives and alert fatigue.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rPr>
        <w:t>Senpai</w:t>
      </w:r>
      <w:r>
        <w:rPr>
          <w:rFonts w:ascii="Times New Roman" w:hAnsi="Times New Roman"/>
          <w:b w:val="1"/>
          <w:bCs w:val="1"/>
          <w:sz w:val="24"/>
          <w:szCs w:val="24"/>
          <w:rtl w:val="0"/>
          <w:lang w:val="en-US"/>
        </w:rPr>
        <w:t>:</w:t>
      </w:r>
      <w:r>
        <w:rPr>
          <w:rFonts w:ascii="Times New Roman" w:hAnsi="Times New Roman"/>
          <w:b w:val="1"/>
          <w:bCs w:val="1"/>
          <w:sz w:val="24"/>
          <w:szCs w:val="24"/>
          <w:rtl w:val="0"/>
          <w:lang w:val="en-US"/>
        </w:rPr>
        <w:t xml:space="preserve"> Educational AI</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Educational AI adoption appears to be constrained less by demand and more by implementation readiness</w:t>
      </w:r>
      <w:r>
        <w:rPr>
          <w:rFonts w:ascii="Times New Roman" w:hAnsi="Times New Roman"/>
          <w:sz w:val="24"/>
          <w:szCs w:val="24"/>
          <w:rtl w:val="0"/>
          <w:lang w:val="en-US"/>
        </w:rPr>
        <w:t xml:space="preserve"> of the market</w:t>
      </w: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Clustering analysis identified three broad market segments: </w:t>
      </w:r>
      <w:r>
        <w:rPr>
          <w:rFonts w:ascii="Times New Roman" w:hAnsi="Times New Roman"/>
          <w:sz w:val="24"/>
          <w:szCs w:val="24"/>
          <w:rtl w:val="0"/>
          <w:lang w:val="en-US"/>
        </w:rPr>
        <w:t>e</w:t>
      </w:r>
      <w:r>
        <w:rPr>
          <w:rFonts w:ascii="Times New Roman" w:hAnsi="Times New Roman"/>
          <w:sz w:val="24"/>
          <w:szCs w:val="24"/>
          <w:rtl w:val="0"/>
          <w:lang w:val="nl-NL"/>
        </w:rPr>
        <w:t xml:space="preserve">merging </w:t>
      </w:r>
      <w:r>
        <w:rPr>
          <w:rFonts w:ascii="Times New Roman" w:hAnsi="Times New Roman"/>
          <w:sz w:val="24"/>
          <w:szCs w:val="24"/>
          <w:rtl w:val="0"/>
          <w:lang w:val="en-US"/>
        </w:rPr>
        <w:t>g</w:t>
      </w:r>
      <w:r>
        <w:rPr>
          <w:rFonts w:ascii="Times New Roman" w:hAnsi="Times New Roman"/>
          <w:sz w:val="24"/>
          <w:szCs w:val="24"/>
          <w:rtl w:val="0"/>
          <w:lang w:val="en-US"/>
        </w:rPr>
        <w:t xml:space="preserve">rowth </w:t>
      </w:r>
      <w:r>
        <w:rPr>
          <w:rFonts w:ascii="Times New Roman" w:hAnsi="Times New Roman"/>
          <w:sz w:val="24"/>
          <w:szCs w:val="24"/>
          <w:rtl w:val="0"/>
          <w:lang w:val="en-US"/>
        </w:rPr>
        <w:t>m</w:t>
      </w:r>
      <w:r>
        <w:rPr>
          <w:rFonts w:ascii="Times New Roman" w:hAnsi="Times New Roman"/>
          <w:sz w:val="24"/>
          <w:szCs w:val="24"/>
          <w:rtl w:val="0"/>
          <w:lang w:val="en-US"/>
        </w:rPr>
        <w:t xml:space="preserve">arkets, </w:t>
      </w:r>
      <w:r>
        <w:rPr>
          <w:rFonts w:ascii="Times New Roman" w:hAnsi="Times New Roman"/>
          <w:sz w:val="24"/>
          <w:szCs w:val="24"/>
          <w:rtl w:val="0"/>
          <w:lang w:val="en-US"/>
        </w:rPr>
        <w:t>e</w:t>
      </w:r>
      <w:r>
        <w:rPr>
          <w:rFonts w:ascii="Times New Roman" w:hAnsi="Times New Roman"/>
          <w:sz w:val="24"/>
          <w:szCs w:val="24"/>
          <w:rtl w:val="0"/>
          <w:lang w:val="en-US"/>
        </w:rPr>
        <w:t xml:space="preserve">stablished </w:t>
      </w:r>
      <w:r>
        <w:rPr>
          <w:rFonts w:ascii="Times New Roman" w:hAnsi="Times New Roman"/>
          <w:sz w:val="24"/>
          <w:szCs w:val="24"/>
          <w:rtl w:val="0"/>
          <w:lang w:val="en-US"/>
        </w:rPr>
        <w:t>e</w:t>
      </w:r>
      <w:r>
        <w:rPr>
          <w:rFonts w:ascii="Times New Roman" w:hAnsi="Times New Roman"/>
          <w:sz w:val="24"/>
          <w:szCs w:val="24"/>
          <w:rtl w:val="0"/>
          <w:lang w:val="fr-FR"/>
        </w:rPr>
        <w:t xml:space="preserve">ducation </w:t>
      </w:r>
      <w:r>
        <w:rPr>
          <w:rFonts w:ascii="Times New Roman" w:hAnsi="Times New Roman"/>
          <w:sz w:val="24"/>
          <w:szCs w:val="24"/>
          <w:rtl w:val="0"/>
          <w:lang w:val="en-US"/>
        </w:rPr>
        <w:t>m</w:t>
      </w:r>
      <w:r>
        <w:rPr>
          <w:rFonts w:ascii="Times New Roman" w:hAnsi="Times New Roman"/>
          <w:sz w:val="24"/>
          <w:szCs w:val="24"/>
          <w:rtl w:val="0"/>
          <w:lang w:val="en-US"/>
        </w:rPr>
        <w:t xml:space="preserve">arkets, and a </w:t>
      </w:r>
      <w:r>
        <w:rPr>
          <w:rFonts w:ascii="Times New Roman" w:hAnsi="Times New Roman"/>
          <w:sz w:val="24"/>
          <w:szCs w:val="24"/>
          <w:rtl w:val="0"/>
          <w:lang w:val="en-US"/>
        </w:rPr>
        <w:t>h</w:t>
      </w:r>
      <w:r>
        <w:rPr>
          <w:rFonts w:ascii="Times New Roman" w:hAnsi="Times New Roman"/>
          <w:sz w:val="24"/>
          <w:szCs w:val="24"/>
          <w:rtl w:val="0"/>
          <w:lang w:val="en-US"/>
        </w:rPr>
        <w:t>igh</w:t>
      </w:r>
      <w:r>
        <w:rPr>
          <w:rFonts w:ascii="Times New Roman" w:hAnsi="Times New Roman"/>
          <w:sz w:val="24"/>
          <w:szCs w:val="24"/>
          <w:rtl w:val="0"/>
          <w:lang w:val="en-US"/>
        </w:rPr>
        <w:t xml:space="preserve"> r</w:t>
      </w:r>
      <w:r>
        <w:rPr>
          <w:rFonts w:ascii="Times New Roman" w:hAnsi="Times New Roman"/>
          <w:sz w:val="24"/>
          <w:szCs w:val="24"/>
          <w:rtl w:val="0"/>
          <w:lang w:val="en-US"/>
        </w:rPr>
        <w:t>eadiness segment represented by the United States. The US combines strong digital infrastructure, high educational development, and substantial teacher</w:t>
      </w:r>
      <w:r>
        <w:rPr>
          <w:rFonts w:ascii="Times New Roman" w:hAnsi="Times New Roman"/>
          <w:sz w:val="24"/>
          <w:szCs w:val="24"/>
          <w:rtl w:val="0"/>
          <w:lang w:val="en-US"/>
        </w:rPr>
        <w:t xml:space="preserve"> </w:t>
      </w:r>
      <w:r>
        <w:rPr>
          <w:rFonts w:ascii="Times New Roman" w:hAnsi="Times New Roman"/>
          <w:sz w:val="24"/>
          <w:szCs w:val="24"/>
          <w:rtl w:val="0"/>
          <w:lang w:val="en-US"/>
        </w:rPr>
        <w:t>capacity challenges.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US public</w:t>
      </w:r>
      <w:r>
        <w:rPr>
          <w:rFonts w:ascii="Times New Roman" w:hAnsi="Times New Roman"/>
          <w:sz w:val="24"/>
          <w:szCs w:val="24"/>
          <w:rtl w:val="0"/>
          <w:lang w:val="en-US"/>
        </w:rPr>
        <w:t xml:space="preserve"> </w:t>
      </w:r>
      <w:r>
        <w:rPr>
          <w:rFonts w:ascii="Times New Roman" w:hAnsi="Times New Roman"/>
          <w:sz w:val="24"/>
          <w:szCs w:val="24"/>
          <w:rtl w:val="0"/>
          <w:lang w:val="en-US"/>
        </w:rPr>
        <w:t>school system serves approximately 49.5 million students and faces persistent teacher shortages. These conditions create opportunities for scalable instructional</w:t>
      </w:r>
      <w:r>
        <w:rPr>
          <w:rFonts w:ascii="Times New Roman" w:hAnsi="Times New Roman"/>
          <w:sz w:val="24"/>
          <w:szCs w:val="24"/>
          <w:rtl w:val="0"/>
          <w:lang w:val="en-US"/>
        </w:rPr>
        <w:t xml:space="preserve"> </w:t>
      </w:r>
      <w:r>
        <w:rPr>
          <w:rFonts w:ascii="Times New Roman" w:hAnsi="Times New Roman"/>
          <w:sz w:val="24"/>
          <w:szCs w:val="24"/>
          <w:rtl w:val="0"/>
          <w:lang w:val="en-US"/>
        </w:rPr>
        <w:t>support technologies capable of delivering personalized learning experiences without proportional increases in staffing.</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primary risks include procurement complexity, curriculum alignment requirements, data privacy concerns, and uncertainty regarding longterm AI integration policies.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Competitive Positioning</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Across all three verticals, competitors typically specialize in a limited subset of customer needs.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In eldercare, competitors emphasize companionship, health coaching, mobility assistance, or therapeutic engagement individually. In physical security, competitors generally focus either on robotic patrol systems or AI video analytics platforms. In education, most AI solutions remain software-centric and lack robotic interaction capabilities.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de-DE"/>
        </w:rPr>
        <w:t>InGen</w:t>
      </w:r>
      <w:r>
        <w:rPr>
          <w:rFonts w:ascii="Times New Roman" w:hAnsi="Times New Roman" w:hint="default"/>
          <w:sz w:val="24"/>
          <w:szCs w:val="24"/>
          <w:rtl w:val="0"/>
          <w:lang w:val="en-US"/>
        </w:rPr>
        <w:t>’</w:t>
      </w:r>
      <w:r>
        <w:rPr>
          <w:rFonts w:ascii="Times New Roman" w:hAnsi="Times New Roman"/>
          <w:sz w:val="24"/>
          <w:szCs w:val="24"/>
          <w:rtl w:val="0"/>
          <w:lang w:val="en-US"/>
        </w:rPr>
        <w:t>s portfolio demonstrates a common strategic theme: combining advanced sensing technologies, on-device AI, embedded safety controls, and industry-specific intelligence into unified platforms that address real-world operational challenges.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This positioning may create advantages in environments where customers seek comprehensive solutions rather than single-purpose tools.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Recommended Areas of Focus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Priority 1: Sentinel Prime AI</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Sentinel Prime AI appears to represent the strongest commercialization opportunity due to existing market spending, demonstrated demand for operational efficiency, and growing AI adoption across security environments.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Priority 2: Fari</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Fari aligns with durable demographic trends that are unlikely to reverse. Aging populations, caregiver shortages, and rising healthcare costs suggest a favorable longterm demand environment.</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Priority 3: Senpai</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Senpai operates within a promising but highly fragmented market. Continued validation through pilot deployments and educational partnerships may help clarify product-market fit and </w:t>
      </w:r>
      <w:r>
        <w:rPr>
          <w:rFonts w:ascii="Times New Roman" w:hAnsi="Times New Roman"/>
          <w:sz w:val="24"/>
          <w:szCs w:val="24"/>
          <w:rtl w:val="0"/>
          <w:lang w:val="en-US"/>
        </w:rPr>
        <w:t>implementation</w:t>
      </w:r>
      <w:r>
        <w:rPr>
          <w:rFonts w:ascii="Times New Roman" w:hAnsi="Times New Roman"/>
          <w:sz w:val="24"/>
          <w:szCs w:val="24"/>
          <w:rtl w:val="0"/>
          <w:lang w:val="en-US"/>
        </w:rPr>
        <w:t xml:space="preserve"> pathways.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Uncertainty and Key Assumptions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All market estimates are based on publicly available demographic, labor</w:t>
      </w:r>
      <w:r>
        <w:rPr>
          <w:rFonts w:ascii="Times New Roman" w:hAnsi="Times New Roman"/>
          <w:sz w:val="24"/>
          <w:szCs w:val="24"/>
          <w:rtl w:val="0"/>
          <w:lang w:val="en-US"/>
        </w:rPr>
        <w:t xml:space="preserve"> </w:t>
      </w:r>
      <w:r>
        <w:rPr>
          <w:rFonts w:ascii="Times New Roman" w:hAnsi="Times New Roman"/>
          <w:sz w:val="24"/>
          <w:szCs w:val="24"/>
          <w:rtl w:val="0"/>
          <w:lang w:val="en-US"/>
        </w:rPr>
        <w:t>market, industry</w:t>
      </w:r>
      <w:r>
        <w:rPr>
          <w:rFonts w:ascii="Times New Roman" w:hAnsi="Times New Roman"/>
          <w:sz w:val="24"/>
          <w:szCs w:val="24"/>
          <w:rtl w:val="0"/>
          <w:lang w:val="en-US"/>
        </w:rPr>
        <w:t xml:space="preserve"> </w:t>
      </w:r>
      <w:r>
        <w:rPr>
          <w:rFonts w:ascii="Times New Roman" w:hAnsi="Times New Roman"/>
          <w:sz w:val="24"/>
          <w:szCs w:val="24"/>
          <w:rtl w:val="0"/>
          <w:lang w:val="en-US"/>
        </w:rPr>
        <w:t>association, educational, and company-reporting data. Market sizing calculations rely on adoption assumptions and reconciliation methodologies rather than direct sales observations.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Competitive analyses are limited to publicly disclosed information and may not fully reflect product capabilities, pricing structures, or deployment performance.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Market adoption rates for emerging AI technologies remain uncertain and may differ materially from current projections.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What This Analysis Cannot Answer</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This analysis cannot determine actual customer willingness to purchase InGen products.</w:t>
      </w:r>
      <w:r>
        <w:rPr>
          <w:rFonts w:ascii="Times New Roman" w:hAnsi="Times New Roman"/>
          <w:sz w:val="24"/>
          <w:szCs w:val="24"/>
          <w:rtl w:val="0"/>
          <w:lang w:val="en-US"/>
        </w:rPr>
        <w:t xml:space="preserve"> </w:t>
      </w:r>
      <w:r>
        <w:rPr>
          <w:rFonts w:ascii="Times New Roman" w:hAnsi="Times New Roman"/>
          <w:sz w:val="24"/>
          <w:szCs w:val="24"/>
          <w:rtl w:val="0"/>
          <w:lang w:val="en-US"/>
        </w:rPr>
        <w:t>The analysis does not include customer interviews, pilot deployments, product testing, pricing validation, sales-conversion data, implementation costs.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analysis cannot predict future regulatory changes affecting AI deployment, educational technology adoption, healthcare robotics, or security monitoring systems.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analysis also cannot determine which distribution strategy, partnership model, pricing structure, or go-to-market approach will produce the highest commercial success.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These questions require direct customer </w:t>
      </w:r>
      <w:r>
        <w:rPr>
          <w:rFonts w:ascii="Times New Roman" w:hAnsi="Times New Roman"/>
          <w:sz w:val="24"/>
          <w:szCs w:val="24"/>
          <w:rtl w:val="0"/>
          <w:lang w:val="en-US"/>
        </w:rPr>
        <w:t>data</w:t>
      </w:r>
      <w:r>
        <w:rPr>
          <w:rFonts w:ascii="Times New Roman" w:hAnsi="Times New Roman"/>
          <w:sz w:val="24"/>
          <w:szCs w:val="24"/>
          <w:rtl w:val="0"/>
          <w:lang w:val="en-US"/>
        </w:rPr>
        <w:t xml:space="preserve">, pilot deployments, and commercial validation activities beyond the scope of this </w:t>
      </w:r>
      <w:r>
        <w:rPr>
          <w:rFonts w:ascii="Times New Roman" w:hAnsi="Times New Roman"/>
          <w:sz w:val="24"/>
          <w:szCs w:val="24"/>
          <w:rtl w:val="0"/>
          <w:lang w:val="en-US"/>
        </w:rPr>
        <w:t>project</w:t>
      </w: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Conclusion</w:t>
      </w:r>
    </w:p>
    <w:p>
      <w:pPr>
        <w:pStyle w:val="Body"/>
        <w:spacing w:line="264" w:lineRule="auto"/>
      </w:pPr>
      <w:r>
        <w:rPr>
          <w:rFonts w:ascii="Times New Roman" w:hAnsi="Times New Roman"/>
          <w:sz w:val="24"/>
          <w:szCs w:val="24"/>
          <w:rtl w:val="0"/>
          <w:lang w:val="en-US"/>
        </w:rPr>
        <w:t xml:space="preserve">The analysis suggests that InGen Dynamics is positioned within three markets that exhibit meaningful structural growth drivers. Sentinel Prime AI </w:t>
      </w:r>
      <w:r>
        <w:rPr>
          <w:rFonts w:ascii="Times New Roman" w:hAnsi="Times New Roman"/>
          <w:sz w:val="24"/>
          <w:szCs w:val="24"/>
          <w:rtl w:val="0"/>
          <w:lang w:val="en-US"/>
        </w:rPr>
        <w:t xml:space="preserve">currently </w:t>
      </w:r>
      <w:r>
        <w:rPr>
          <w:rFonts w:ascii="Times New Roman" w:hAnsi="Times New Roman"/>
          <w:sz w:val="24"/>
          <w:szCs w:val="24"/>
          <w:rtl w:val="0"/>
          <w:lang w:val="en-US"/>
        </w:rPr>
        <w:t>offers the strongest commercial opportunity, Fari aligns with longterm demographic trends, and Senpai addresses persistent educational</w:t>
      </w:r>
      <w:r>
        <w:rPr>
          <w:rFonts w:ascii="Times New Roman" w:hAnsi="Times New Roman"/>
          <w:sz w:val="24"/>
          <w:szCs w:val="24"/>
          <w:rtl w:val="0"/>
          <w:lang w:val="en-US"/>
        </w:rPr>
        <w:t xml:space="preserve"> </w:t>
      </w:r>
      <w:r>
        <w:rPr>
          <w:rFonts w:ascii="Times New Roman" w:hAnsi="Times New Roman"/>
          <w:sz w:val="24"/>
          <w:szCs w:val="24"/>
          <w:rtl w:val="0"/>
          <w:lang w:val="en-US"/>
        </w:rPr>
        <w:t>capacity challenges. While substantial uncertainty remains regarding adoption rates and commercialization pathways, the findings indicate that InGen</w:t>
      </w:r>
      <w:r>
        <w:rPr>
          <w:rFonts w:ascii="Times New Roman" w:hAnsi="Times New Roman" w:hint="default"/>
          <w:sz w:val="24"/>
          <w:szCs w:val="24"/>
          <w:rtl w:val="0"/>
          <w:lang w:val="en-US"/>
        </w:rPr>
        <w:t>’</w:t>
      </w:r>
      <w:r>
        <w:rPr>
          <w:rFonts w:ascii="Times New Roman" w:hAnsi="Times New Roman"/>
          <w:sz w:val="24"/>
          <w:szCs w:val="24"/>
          <w:rtl w:val="0"/>
          <w:lang w:val="en-US"/>
        </w:rPr>
        <w:t>s integrated AI platform strategy aligns with several large and growing market opportunities.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