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Fari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Fari is an AI eldercare companion robot designed to support clinical monitoring, emotional wellbeing, and resident safety in assisted living and care environments. The platform combines edge AI processing on NVIDIA Jetson Orin NX hardware with a 14-sensor suite and a governance framework called the Supervised Ethical Override Module (SEOM), which is intended to ensure that all recommendations remain advisory and under </w:t>
      </w:r>
      <w:r>
        <w:rPr>
          <w:rFonts w:ascii="Times New Roman" w:hAnsi="Times New Roman"/>
          <w:sz w:val="24"/>
          <w:szCs w:val="24"/>
          <w:rtl w:val="0"/>
          <w:lang w:val="en-US"/>
        </w:rPr>
        <w:t>user</w:t>
      </w:r>
      <w:r>
        <w:rPr>
          <w:rFonts w:ascii="Times New Roman" w:hAnsi="Times New Roman"/>
          <w:sz w:val="24"/>
          <w:szCs w:val="24"/>
          <w:rtl w:val="0"/>
          <w:lang w:val="en-US"/>
        </w:rPr>
        <w:t xml:space="preserve"> authority.</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Target Use Cases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Fari is designed for eldercare </w:t>
      </w:r>
      <w:r>
        <w:rPr>
          <w:rFonts w:ascii="Times New Roman" w:hAnsi="Times New Roman"/>
          <w:sz w:val="24"/>
          <w:szCs w:val="24"/>
          <w:rtl w:val="0"/>
          <w:lang w:val="en-US"/>
        </w:rPr>
        <w:t xml:space="preserve">environments </w:t>
      </w:r>
      <w:r>
        <w:rPr>
          <w:rFonts w:ascii="Times New Roman" w:hAnsi="Times New Roman"/>
          <w:sz w:val="24"/>
          <w:szCs w:val="24"/>
          <w:rtl w:val="0"/>
          <w:lang w:val="en-US"/>
        </w:rPr>
        <w:t>where continuous health monitoring, companionship, medication support, and fall prevention are needed. Planned applications include residential care facilities, memory-care environments, and independent living support. Key use cases include medication management, emotional companionship, vital-sign monitoring, family connectivity, wandering detection, and caregiver alerting.</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Stated Capabilities</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Fari is </w:t>
      </w:r>
      <w:r>
        <w:rPr>
          <w:rFonts w:ascii="Times New Roman" w:hAnsi="Times New Roman"/>
          <w:sz w:val="24"/>
          <w:szCs w:val="24"/>
          <w:rtl w:val="0"/>
          <w:lang w:val="en-US"/>
        </w:rPr>
        <w:t>designed</w:t>
      </w:r>
      <w:r>
        <w:rPr>
          <w:rFonts w:ascii="Times New Roman" w:hAnsi="Times New Roman"/>
          <w:sz w:val="24"/>
          <w:szCs w:val="24"/>
          <w:rtl w:val="0"/>
          <w:lang w:val="en-US"/>
        </w:rPr>
        <w:t xml:space="preserve"> to provide continuous non-invasive monitoring of heart rate, SpO</w:t>
      </w:r>
      <w:r>
        <w:rPr>
          <w:rFonts w:ascii="Arial Unicode MS" w:cs="Arial Unicode MS" w:hAnsi="Arial Unicode MS" w:eastAsia="Arial Unicode MS" w:hint="default"/>
          <w:b w:val="0"/>
          <w:bCs w:val="0"/>
          <w:i w:val="0"/>
          <w:iCs w:val="0"/>
          <w:sz w:val="24"/>
          <w:szCs w:val="24"/>
          <w:rtl w:val="0"/>
        </w:rPr>
        <w:t>₂</w:t>
      </w:r>
      <w:r>
        <w:rPr>
          <w:rFonts w:ascii="Times New Roman" w:hAnsi="Times New Roman"/>
          <w:sz w:val="24"/>
          <w:szCs w:val="24"/>
          <w:rtl w:val="0"/>
          <w:lang w:val="en-US"/>
        </w:rPr>
        <w:t>, respiratory rate, skin temperature, and estimated blood pressure; sleep-quality analysis; environmental monitoring; medication reminders with intake confirmation; autonomous navigation; and multi-sensor fall detection and prevention. The system also supports conversational interaction, activity engagement, video calling, and integration with electronic health records through HL7 FHIR R4 interfaces. All processing is designed to occur primarily on-device to support privacy and compliance.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PIC 2.0 Foundation Models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Fari incorporates all six named PIC 2.0 foundation models. GRPO (Group Relative Policy Optimi</w:t>
      </w:r>
      <w:r>
        <w:rPr>
          <w:rFonts w:ascii="Times New Roman" w:hAnsi="Times New Roman"/>
          <w:sz w:val="24"/>
          <w:szCs w:val="24"/>
          <w:rtl w:val="0"/>
          <w:lang w:val="en-US"/>
        </w:rPr>
        <w:t>z</w:t>
      </w:r>
      <w:r>
        <w:rPr>
          <w:rFonts w:ascii="Times New Roman" w:hAnsi="Times New Roman"/>
          <w:sz w:val="24"/>
          <w:szCs w:val="24"/>
          <w:rtl w:val="0"/>
          <w:lang w:val="en-US"/>
        </w:rPr>
        <w:t>ation) supports contextual health assessments and personalized baseline monitoring. SEOM (Supervised Ethical Override Module) serves as the platform</w:t>
      </w:r>
      <w:r>
        <w:rPr>
          <w:rFonts w:ascii="Times New Roman" w:hAnsi="Times New Roman" w:hint="default"/>
          <w:sz w:val="24"/>
          <w:szCs w:val="24"/>
          <w:rtl w:val="0"/>
          <w:lang w:val="en-US"/>
        </w:rPr>
        <w:t>’</w:t>
      </w:r>
      <w:r>
        <w:rPr>
          <w:rFonts w:ascii="Times New Roman" w:hAnsi="Times New Roman"/>
          <w:sz w:val="24"/>
          <w:szCs w:val="24"/>
          <w:rtl w:val="0"/>
          <w:lang w:val="en-US"/>
        </w:rPr>
        <w:t>s ethical governance layer. STUM (Socially-aware Trajectory Understanding Model) adapts conversation style and interaction behavior to resident preferences. AMDC (Affective Multi-modal Depression Classifier) analyzes facial, vocal, and behavioral signals to assess emotional wellbeing. HTD-IRL (Human Trajectory Detection using Inverse Reinforcement Learning) powers gait analysis and fall-risk prediction. CRL-MRS (Collaborative Reinforcement Learning for Multi-Robot Systems) enables coordination among multiple Fari units deployed within the same facility.</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rPr>
        <w:t>Senpai</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Senpai is an AI</w:t>
      </w:r>
      <w:r>
        <w:rPr>
          <w:rFonts w:ascii="Times New Roman" w:hAnsi="Times New Roman"/>
          <w:sz w:val="24"/>
          <w:szCs w:val="24"/>
          <w:rtl w:val="0"/>
          <w:lang w:val="en-US"/>
        </w:rPr>
        <w:t xml:space="preserve"> </w:t>
      </w:r>
      <w:r>
        <w:rPr>
          <w:rFonts w:ascii="Times New Roman" w:hAnsi="Times New Roman"/>
          <w:sz w:val="24"/>
          <w:szCs w:val="24"/>
          <w:rtl w:val="0"/>
          <w:lang w:val="en-US"/>
        </w:rPr>
        <w:t>educational companion robot to provide adaptive, personalized learning for children aged 3</w:t>
      </w:r>
      <w:r>
        <w:rPr>
          <w:rFonts w:ascii="Times New Roman" w:hAnsi="Times New Roman" w:hint="default"/>
          <w:sz w:val="24"/>
          <w:szCs w:val="24"/>
          <w:rtl w:val="0"/>
        </w:rPr>
        <w:t>–</w:t>
      </w:r>
      <w:r>
        <w:rPr>
          <w:rFonts w:ascii="Times New Roman" w:hAnsi="Times New Roman"/>
          <w:sz w:val="24"/>
          <w:szCs w:val="24"/>
          <w:rtl w:val="0"/>
          <w:lang w:val="en-US"/>
        </w:rPr>
        <w:t>18 across classroom, home, SEND, language-learning, and institutional education settings. Built on the Origami AI PIC 2.0 platform, Senpai combines a physical robotic presence, interactive projection, multimodal sensing, and curriculum-aligned AI instruction to deliver individualized educational experiences while maintaining teacher authority and child-safety controls.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Target Use Cases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Senpai is designed for K</w:t>
      </w:r>
      <w:r>
        <w:rPr>
          <w:rFonts w:ascii="Times New Roman" w:hAnsi="Times New Roman" w:hint="default"/>
          <w:sz w:val="24"/>
          <w:szCs w:val="24"/>
          <w:rtl w:val="0"/>
        </w:rPr>
        <w:t>–</w:t>
      </w:r>
      <w:r>
        <w:rPr>
          <w:rFonts w:ascii="Times New Roman" w:hAnsi="Times New Roman"/>
          <w:sz w:val="24"/>
          <w:szCs w:val="24"/>
          <w:rtl w:val="0"/>
          <w:lang w:val="en-US"/>
        </w:rPr>
        <w:t>12 classrooms, SEND and inclusion programs, early childhood education, language learning, higher education support, and government training initiatives. A major focus is supporting students with special educational needs through six dedicated adaptation modes covering Autism Spectrum, Dyslexia, ADHD, Visual Impairment, Hearing Impairment, and Physical Disability. The platform is intended to align with major educational frameworks including the UK National Curriculum, US Common Core, CBSE, Singapore MOE, and International Baccalaureate curricula.</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Stated Capabilities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Senpai is designed to deliver adaptive instruction through an 8,000+ concept knowledge graph, real-time mastery modeling, spaced retrieval learning, interactive projector-based lessons, multilingual support across 40+ languages, and personalized assessment. The platform includes teacher dashboards, parent portals, SEND evidence generation, MIS integration, pronunciation coaching, classroom analytics, and multimodal learning experiences that combine dialogue, visual, narrative, musical, </w:t>
      </w:r>
      <w:r>
        <w:rPr>
          <w:rFonts w:ascii="Times New Roman" w:hAnsi="Times New Roman"/>
          <w:sz w:val="24"/>
          <w:szCs w:val="24"/>
          <w:rtl w:val="0"/>
          <w:lang w:val="en-US"/>
        </w:rPr>
        <w:t>kinesthetic</w:t>
      </w:r>
      <w:r>
        <w:rPr>
          <w:rFonts w:ascii="Times New Roman" w:hAnsi="Times New Roman"/>
          <w:sz w:val="24"/>
          <w:szCs w:val="24"/>
          <w:rtl w:val="0"/>
          <w:lang w:val="en-US"/>
        </w:rPr>
        <w:t>, and physical teaching modalities. The robot</w:t>
      </w:r>
      <w:r>
        <w:rPr>
          <w:rFonts w:ascii="Times New Roman" w:hAnsi="Times New Roman" w:hint="default"/>
          <w:sz w:val="24"/>
          <w:szCs w:val="24"/>
          <w:rtl w:val="0"/>
          <w:lang w:val="en-US"/>
        </w:rPr>
        <w:t>’</w:t>
      </w:r>
      <w:r>
        <w:rPr>
          <w:rFonts w:ascii="Times New Roman" w:hAnsi="Times New Roman"/>
          <w:sz w:val="24"/>
          <w:szCs w:val="24"/>
          <w:rtl w:val="0"/>
          <w:lang w:val="en-US"/>
        </w:rPr>
        <w:t>s hardware includes a 10.1-inch AMOLED display, interactive projector, sensor suite, edge AI processing, and optional mobility platform for classroom navigation.</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PIC 2.0 Foundation Models</w:t>
      </w:r>
    </w:p>
    <w:p>
      <w:pPr>
        <w:pStyle w:val="Body"/>
        <w:rPr>
          <w:rFonts w:ascii="Times New Roman" w:cs="Times New Roman" w:hAnsi="Times New Roman" w:eastAsia="Times New Roman"/>
          <w:sz w:val="24"/>
          <w:szCs w:val="24"/>
        </w:rPr>
      </w:pPr>
      <w:r>
        <w:rPr>
          <w:rFonts w:ascii="Times New Roman" w:hAnsi="Times New Roman"/>
          <w:sz w:val="24"/>
          <w:szCs w:val="24"/>
          <w:rtl w:val="0"/>
        </w:rPr>
        <w:t>Senpai</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incorporates all six PIC 2.0 foundation models. GRPO (Goal-Reward Policy Optimisation) serves as the adaptive teaching policy engine, selecting activities and pacing based on mastery, engagement, and learning objectives. SEOM (Safety &amp; Ethics Oversight Model) functions as the child-safety and safeguarding layer, enforcing twelve educational safety rules governing privacy, age-appropriate content, teacher authority, safeguarding disclosures, and SEND dignity. STUM (Spatio-Temporal Uncertainty Model) estimates learner confidence and identifies pseudo-mastery by distinguishing genuine understanding from pattern recognition. AMDC (Adaptive Multi-Modal Data Calibration) performs engagement detection using gaze, interaction, behavioral, and environmental signals. HTD-IRL (Hierarchical Task Decomposition via Inverse Reinforcement Learning) is used for curriculum planning and long-horizon learning pathway generation. CRL-MRS (Cooperative Reinforcement Learning Multi-Robot System) coordinates multiple Senpai units in classroom deployments, enabling fleet management, collaborative learning activities, and shared instructional workflows.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 xml:space="preserve">Sentinel Prime AI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Sentinel Prime AI is an enterprise physical security platform</w:t>
      </w:r>
      <w:r>
        <w:rPr>
          <w:rFonts w:ascii="Times New Roman" w:hAnsi="Times New Roman"/>
          <w:sz w:val="24"/>
          <w:szCs w:val="24"/>
          <w:rtl w:val="0"/>
          <w:lang w:val="en-US"/>
        </w:rPr>
        <w:t xml:space="preserve"> </w:t>
      </w:r>
      <w:r>
        <w:rPr>
          <w:rFonts w:ascii="Times New Roman" w:hAnsi="Times New Roman"/>
          <w:sz w:val="24"/>
          <w:szCs w:val="24"/>
          <w:rtl w:val="0"/>
          <w:lang w:val="en-US"/>
        </w:rPr>
        <w:t>for real-time threat detection, surveillance, and operational intelligence. The system combines a 14-sensor multimodal fusion architecture, a five-model AI ensemble, probabilistic uncertainty quantification, and hardware-enforced safety governance to reduce alert fatigue and improve operator decision-making. Designed to run entirely on NVIDIA Jetson AGX Orin edge hardware, Sentinel targets sub-3% false alert rates, end-to-end inference latency below 200 milliseconds, and simultaneous execution of 27 AI detection functions.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Target Use Cases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Sentinel Prime AI is intended for critical infrastructure, healthcare facilities, data </w:t>
      </w:r>
      <w:r>
        <w:rPr>
          <w:rFonts w:ascii="Times New Roman" w:hAnsi="Times New Roman"/>
          <w:sz w:val="24"/>
          <w:szCs w:val="24"/>
          <w:rtl w:val="0"/>
          <w:lang w:val="en-US"/>
        </w:rPr>
        <w:t>centers</w:t>
      </w:r>
      <w:r>
        <w:rPr>
          <w:rFonts w:ascii="Times New Roman" w:hAnsi="Times New Roman"/>
          <w:sz w:val="24"/>
          <w:szCs w:val="24"/>
          <w:rtl w:val="0"/>
          <w:lang w:val="en-US"/>
        </w:rPr>
        <w:t xml:space="preserve">, retail and logistics operations, government and </w:t>
      </w:r>
      <w:r>
        <w:rPr>
          <w:rFonts w:ascii="Times New Roman" w:hAnsi="Times New Roman"/>
          <w:sz w:val="24"/>
          <w:szCs w:val="24"/>
          <w:rtl w:val="0"/>
          <w:lang w:val="en-US"/>
        </w:rPr>
        <w:t>defense</w:t>
      </w:r>
      <w:r>
        <w:rPr>
          <w:rFonts w:ascii="Times New Roman" w:hAnsi="Times New Roman"/>
          <w:sz w:val="24"/>
          <w:szCs w:val="24"/>
          <w:rtl w:val="0"/>
          <w:lang w:val="en-US"/>
        </w:rPr>
        <w:t xml:space="preserve"> installations, industrial and energy sites, educational campuses, and transportation networks. The platform is offered in four deployment configurations: Sentinel Tower (perimeter security), Sentinel Compact (indoor monitoring), Sentinel Mobile (integrated with Aido Rover for autonomous patrol), and Sentinel Covert (discreet high-security deployments). Core use cases include perimeter intrusion detection, weapon detection, access control monitoring, workplace safety, environmental hazard detection, crowd management, and autonomous security patrol operations.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Stated Capabilities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Sentinel is designed to perform 27 concurrent AI detection functions across five operational categories: threat detection (weapons, aggression, suspicious behavior, intrusion, tailgating, forced entry), identity analysis (face recognition, person re-identification, ANPR, gait anomaly detection, PPE compliance), environmental monitoring (fire, smoke, flooding, hazardous materials, air-quality anomalies), operational intelligence (abandoned objects, vehicle tracking, drone detection, scene change analysis), and advanced behavioral analytics (fall detection, occupancy management, queue analytics, and contraband classification). The platform integrates RGB imaging, thermal sensing, LiDAR, mmWave radar, acoustic sensing, and environmental monitoring into a unified detection pipeline.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PIC 2.0 Foundation Models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Sentinel incorporates two named PIC 2.0 foundation models. STUM provides uncertainty quantification, confidence calibration, and alert suppression, ensuring that only detections with sufficient confidence reach operators. SEOM (Safety and Ethics Operations Model) functions as the governance layer, enforcing ten immutable safety and compliance rules at the FPGA hardware level. These rules cover operator primacy, escalation procedures, privacy protections, bias monitoring, confidence thresholds, data sovereignty, audit logging, and human-in-the-loop decision making. Unlike the educational and eldercare products, the available Sentinel documentation does not explicitly describe deployment of GRPO, AMDC, HTD-IRL, or CRL-MRS as core operational models, although Sentinel shares the broader Origami AI architecture and engineering framework.</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pt-PT"/>
        </w:rPr>
        <w:t>Aido Rover</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Aido Rover is an autonomous outdoor robotics platform for inspection, security, monitoring, and infrastructure intelligence in environments where continuous human patrols are costly, hazardous, or impractical. Unlike indoor service robots adapted for outdoor use, Aido Rover is designed specifically for multi-terrain outdoor operation across critical infrastructure, renewable energy sites, airports, agriculture, industrial facilities, and large commercial campuses. The platform combines autonomous mobility, multimodal sensing, edge AI, and fleet-scale coordination through the Origami AI ecosystem.</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Target Use Cases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Aido Rover is intended for solar and wind farm inspection, critical infrastructure monitoring, airport and port perimeter security, government and </w:t>
      </w:r>
      <w:r>
        <w:rPr>
          <w:rFonts w:ascii="Times New Roman" w:hAnsi="Times New Roman"/>
          <w:sz w:val="24"/>
          <w:szCs w:val="24"/>
          <w:rtl w:val="0"/>
          <w:lang w:val="en-US"/>
        </w:rPr>
        <w:t>defense</w:t>
      </w:r>
      <w:r>
        <w:rPr>
          <w:rFonts w:ascii="Times New Roman" w:hAnsi="Times New Roman"/>
          <w:sz w:val="24"/>
          <w:szCs w:val="24"/>
          <w:rtl w:val="0"/>
          <w:lang w:val="en-US"/>
        </w:rPr>
        <w:t xml:space="preserve"> facility patrols, agricultural crop monitoring, corporate campus security, oil and gas inspection, mining operations, and hyperscale data-centre protection. The platform is positioned as a continuous autonomous patrol and inspection system capable of generating security intelligence, environmental monitoring data, and infrastructure assessment reports during routine operations.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Stated Capabilities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platform is designed around four-wheel independent drive, all-weather operation, autonomous navigation, and a 14-sensor multimodal architecture including LiDAR, thermal imaging, RGB and stereo vision, multispectral imaging, acoustic sensing, radar, gas detection, environmental monitoring, GPS/RTK positioning, and safety deterrent systems. Planned capabilities include 25 AI detection functions covering perimeter intrusion, person and vehicle detection, tailgating, abandoned objects, loitering, aggression detection, crowd monitoring, ANPR, infrastructure inspection, solar-panel anomaly detection, vegetation fire-risk assessment, crop-health mapping, gas-leak detection, water-ingress monitoring, fire pre-ignition detection, drone detection, and structural surveying with digital-twin generation. The platform is also designed to produce GPS-tagged inspection reports and exportable 3D point clouds for enterprise asset management systems.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PIC 2.0 Foundation Models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w:t>
      </w:r>
      <w:r>
        <w:rPr>
          <w:rFonts w:ascii="Times New Roman" w:hAnsi="Times New Roman"/>
          <w:sz w:val="24"/>
          <w:szCs w:val="24"/>
          <w:rtl w:val="0"/>
          <w:lang w:val="en-US"/>
        </w:rPr>
        <w:t xml:space="preserve">he platform </w:t>
      </w:r>
      <w:r>
        <w:rPr>
          <w:rFonts w:ascii="Times New Roman" w:hAnsi="Times New Roman"/>
          <w:sz w:val="24"/>
          <w:szCs w:val="24"/>
          <w:rtl w:val="0"/>
          <w:lang w:val="en-US"/>
        </w:rPr>
        <w:t>runs</w:t>
      </w:r>
      <w:r>
        <w:rPr>
          <w:rFonts w:ascii="Times New Roman" w:hAnsi="Times New Roman"/>
          <w:sz w:val="24"/>
          <w:szCs w:val="24"/>
          <w:rtl w:val="0"/>
          <w:lang w:val="en-US"/>
        </w:rPr>
        <w:t xml:space="preserve"> on the Origami AI physical intelligence stack shared across the InGen Dynamics product family. Several PIC 2.0 concepts are directly referenced. Detection workflows are designed around uncertainty scoring before autonomous action, reflecting the role of STUM (uncertainty quantification) in gating decisions and reducing false positives. The platform also emphasizes hardware-level safety controls and a dedicated safety architecture consistent with SEOM governance principles. In addition, fleet-native coordination of up to twelve Rover units suggests future use of CRL-MRS (Cooperative Reinforcement Learning for Multi-Robot Systems) for multi-agent coordination. While these connections are described conceptually, the currently available Rover documentation does not explicitly map all six PIC 2.0 models (GRPO, STUM, SEOM, AMDC, HTD-IRL, CRL-MRS) to specific operational functions.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pt-PT"/>
        </w:rPr>
        <w:t>Aido Humanoid</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Aido Humanoid is </w:t>
      </w:r>
      <w:r>
        <w:rPr>
          <w:rFonts w:ascii="Times New Roman" w:hAnsi="Times New Roman"/>
          <w:sz w:val="24"/>
          <w:szCs w:val="24"/>
          <w:rtl w:val="0"/>
          <w:lang w:val="en-US"/>
        </w:rPr>
        <w:t xml:space="preserve">a </w:t>
      </w:r>
      <w:r>
        <w:rPr>
          <w:rFonts w:ascii="Times New Roman" w:hAnsi="Times New Roman"/>
          <w:sz w:val="24"/>
          <w:szCs w:val="24"/>
          <w:rtl w:val="0"/>
          <w:lang w:val="en-US"/>
        </w:rPr>
        <w:t>humanoid robotics platform designed to operate in human environments without requiring modifications to existing infrastructure. Standing 163 cm tall, weighing 70 kg, and featuring 54 degrees of freedom, the platform combines bipedal locomotion, dexterous manipulation, multimodal perception, and a layered AI architecture built on the Origami AI ecosystem. The system is being developed for healthcare, eldercare, manufacturing, and logistics applications, with safety, uncertainty management, and human collaboration embedded into its core design.</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Target Use Cases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Aido Humanoid is intended for clinical workflow support, medication transport, patient observation, mobility assistance, companion care, collaborative manufacturing, quality inspection, warehouse </w:t>
      </w:r>
      <w:r>
        <w:rPr>
          <w:rFonts w:ascii="Times New Roman" w:hAnsi="Times New Roman"/>
          <w:sz w:val="24"/>
          <w:szCs w:val="24"/>
          <w:rtl w:val="0"/>
          <w:lang w:val="en-US"/>
        </w:rPr>
        <w:t>fulfillment</w:t>
      </w:r>
      <w:r>
        <w:rPr>
          <w:rFonts w:ascii="Times New Roman" w:hAnsi="Times New Roman"/>
          <w:sz w:val="24"/>
          <w:szCs w:val="24"/>
          <w:rtl w:val="0"/>
          <w:lang w:val="en-US"/>
        </w:rPr>
        <w:t>, and logistics operations. The platform uses the same underlying hardware across all deployment verticals while applying domain-specific AI policies and safety configurations through the Origami AI stack. Healthcare and eldercare deployments are designed to operate under the strictest safety constraints, while manufacturing and logistics configurations prioritize productivity within human-safe operating boundaries.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Stated Capabilities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robot is designed with 54 degrees of freedom, including 32 lower-body DOF for bipedal locomotion and 22 upper-body DOF for manipulation. Planned capabilities include stair climbing, elevator use, guided walking, bed transfers, medication delivery, wellness checks, quality inspection, assembly support, warehouse picking, box stacking, tool use, and collaborative work-cell operations. The perception system integrates eight sensing modalities, including RGB-D vision, context cameras, emotion analysis, LiDAR, microphone arrays, tactile sensing, force-torque sensors, and LED-based human communication systems. A library of 30 core skills and 14 grasp configurations is being developed for deployment across multiple industries.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PIC 2.0 Foundation Models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Aido Humanoid is the most explicit example of PIC 2.0 integration within the InGen portfolio and incorporates all six named foundation models. At the base layer, GR00T N1.6 provides humanoid foundation-model capabilities for whole-body control and sim-to-real transfer. GRPO (Group Relative Policy </w:t>
      </w:r>
      <w:r>
        <w:rPr>
          <w:rFonts w:ascii="Times New Roman" w:hAnsi="Times New Roman"/>
          <w:sz w:val="24"/>
          <w:szCs w:val="24"/>
          <w:rtl w:val="0"/>
          <w:lang w:val="en-US"/>
        </w:rPr>
        <w:t>Optimization</w:t>
      </w:r>
      <w:r>
        <w:rPr>
          <w:rFonts w:ascii="Times New Roman" w:hAnsi="Times New Roman"/>
          <w:sz w:val="24"/>
          <w:szCs w:val="24"/>
          <w:rtl w:val="0"/>
          <w:lang w:val="en-US"/>
        </w:rPr>
        <w:t>) performs vertical-specific policy fine-tuning for healthcare, eldercare, manufacturing, and logistics tasks. SEOM (Safety and Ethics Operations Manager) serves as the safety engine, embedding twelve safety constraints directly into training objectives and runtime operations. STUM (Spatial-Temporal Uncertainty Model) provides calibrated uncertainty estimation and determines whether the robot should execute, request human verification, or halt and escalate. HTD-IRL (Human-to-Digital Inverse Reinforcement Learning) enables learning from expert demonstrations and skill transfer. CRL-MRS (Cooperative Reinforcement Learning for Multi-Robot Systems) supports fleet coordination, task allocation, shared uncertainty reasoning, and multi-robot collaboration.</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914400</wp:posOffset>
                </wp:positionH>
                <wp:positionV relativeFrom="page">
                  <wp:posOffset>774365</wp:posOffset>
                </wp:positionV>
                <wp:extent cx="5943593" cy="6123701"/>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5943593" cy="6123701"/>
                        </a:xfrm>
                        <a:prstGeom prst="rect">
                          <a:avLst/>
                        </a:prstGeom>
                      </wps:spPr>
                      <wps:txbx>
                        <w:txbxContent>
                          <w:tbl>
                            <w:tblPr>
                              <w:tblW w:w="9345"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04"/>
                              <w:gridCol w:w="1872"/>
                              <w:gridCol w:w="6269"/>
                            </w:tblGrid>
                            <w:tr>
                              <w:tblPrEx>
                                <w:shd w:val="clear" w:color="auto" w:fill="bdc0bf"/>
                              </w:tblPrEx>
                              <w:trPr>
                                <w:trHeight w:val="672" w:hRule="atLeast"/>
                                <w:tblHeader/>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PIC 2.0 Foundation Models</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Full Name</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Function</w:t>
                                  </w: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GRPO</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Group Relative Policy Optimization</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Adaptive decision-making engine that selects next actions based on relative reward signals and performance gaps. Used for adaptive pathways and reinforcement-learning style optimization.</w:t>
                                  </w:r>
                                </w:p>
                              </w:tc>
                            </w:tr>
                            <w:tr>
                              <w:tblPrEx>
                                <w:shd w:val="clear" w:color="auto" w:fill="auto"/>
                              </w:tblPrEx>
                              <w:trPr>
                                <w:trHeight w:val="89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STUM</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Spatiotemporal Uncertainty Model</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 xml:space="preserve">Evaluates quality, consistency, and depth of evidence; detects </w:t>
                                  </w:r>
                                  <w:r>
                                    <w:rPr>
                                      <w:rFonts w:ascii="Times New Roman" w:hAnsi="Times New Roman" w:hint="default"/>
                                      <w:rtl w:val="0"/>
                                    </w:rPr>
                                    <w:t>“</w:t>
                                  </w:r>
                                  <w:r>
                                    <w:rPr>
                                      <w:rFonts w:ascii="Times New Roman" w:hAnsi="Times New Roman"/>
                                      <w:rtl w:val="0"/>
                                    </w:rPr>
                                    <w:t>pseudo-mastery</w:t>
                                  </w:r>
                                  <w:r>
                                    <w:rPr>
                                      <w:rFonts w:ascii="Times New Roman" w:hAnsi="Times New Roman" w:hint="default"/>
                                      <w:rtl w:val="0"/>
                                    </w:rPr>
                                    <w:t xml:space="preserve">” </w:t>
                                  </w:r>
                                  <w:r>
                                    <w:rPr>
                                      <w:rFonts w:ascii="Times New Roman" w:hAnsi="Times New Roman"/>
                                      <w:rtl w:val="0"/>
                                    </w:rPr>
                                    <w:t>and uncertainty patterns. Also described as applicable to operator competency assessment.</w:t>
                                  </w:r>
                                </w:p>
                                <w:p>
                                  <w:pPr>
                                    <w:pStyle w:val="Table Style 2"/>
                                  </w:pP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SEOM</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Safety-Embedded Objective Model</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Constitutional safety layer embedding regulatory and behavioral constraints into model objectives rather than post-processing filters. Intended to govern educational and companion-robot behavior.</w:t>
                                  </w: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AMDC</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Adaptive Multi-Domain Calibration</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Builds individualized behavioral baselines and normalizes assessments against personal engagement patterns; intended to improve fairness and personalization</w:t>
                                  </w:r>
                                </w:p>
                              </w:tc>
                            </w:tr>
                            <w:tr>
                              <w:tblPrEx>
                                <w:shd w:val="clear" w:color="auto" w:fill="auto"/>
                              </w:tblPrEx>
                              <w:trPr>
                                <w:trHeight w:val="111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HTD-IRL</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Hierarchical Task Decomposition via Inverse Reinforcement Learning</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Translates high-level objectives into structured pathways and decomposed tasks. In education, maps career goals into learning plans; conceptually applicable to complex robotic task planning.</w:t>
                                  </w:r>
                                </w:p>
                              </w:tc>
                            </w:tr>
                            <w:tr>
                              <w:tblPrEx>
                                <w:shd w:val="clear" w:color="auto" w:fill="auto"/>
                              </w:tblPrEx>
                              <w:trPr>
                                <w:trHeight w:val="89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CRL-MRS</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Cooperative Reinforcement Learning for Multi-Robot Systems</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Multi-agent coordination framework derived from robot fleet management; intended to optimize collaboration among distributed agents and robot fleets.</w:t>
                                  </w:r>
                                </w:p>
                              </w:tc>
                            </w:tr>
                          </w:tbl>
                        </w:txbxContent>
                      </wps:txbx>
                      <wps:bodyPr lIns="0" tIns="0" rIns="0" bIns="0">
                        <a:spAutoFit/>
                      </wps:bodyPr>
                    </wps:wsp>
                  </a:graphicData>
                </a:graphic>
              </wp:anchor>
            </w:drawing>
          </mc:Choice>
          <mc:Fallback>
            <w:pict>
              <v:shape id="_x0000_s1026" type="#_x0000_t202" style="visibility:visible;position:absolute;margin-left:72.0pt;margin-top:61.0pt;width:468.0pt;height:482.2pt;z-index:251659264;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345"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04"/>
                        <w:gridCol w:w="1872"/>
                        <w:gridCol w:w="6269"/>
                      </w:tblGrid>
                      <w:tr>
                        <w:tblPrEx>
                          <w:shd w:val="clear" w:color="auto" w:fill="bdc0bf"/>
                        </w:tblPrEx>
                        <w:trPr>
                          <w:trHeight w:val="672" w:hRule="atLeast"/>
                          <w:tblHeader/>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PIC 2.0 Foundation Models</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Full Name</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Function</w:t>
                            </w: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GRPO</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Group Relative Policy Optimization</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Adaptive decision-making engine that selects next actions based on relative reward signals and performance gaps. Used for adaptive pathways and reinforcement-learning style optimization.</w:t>
                            </w:r>
                          </w:p>
                        </w:tc>
                      </w:tr>
                      <w:tr>
                        <w:tblPrEx>
                          <w:shd w:val="clear" w:color="auto" w:fill="auto"/>
                        </w:tblPrEx>
                        <w:trPr>
                          <w:trHeight w:val="89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STUM</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Spatiotemporal Uncertainty Model</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 xml:space="preserve">Evaluates quality, consistency, and depth of evidence; detects </w:t>
                            </w:r>
                            <w:r>
                              <w:rPr>
                                <w:rFonts w:ascii="Times New Roman" w:hAnsi="Times New Roman" w:hint="default"/>
                                <w:rtl w:val="0"/>
                              </w:rPr>
                              <w:t>“</w:t>
                            </w:r>
                            <w:r>
                              <w:rPr>
                                <w:rFonts w:ascii="Times New Roman" w:hAnsi="Times New Roman"/>
                                <w:rtl w:val="0"/>
                              </w:rPr>
                              <w:t>pseudo-mastery</w:t>
                            </w:r>
                            <w:r>
                              <w:rPr>
                                <w:rFonts w:ascii="Times New Roman" w:hAnsi="Times New Roman" w:hint="default"/>
                                <w:rtl w:val="0"/>
                              </w:rPr>
                              <w:t xml:space="preserve">” </w:t>
                            </w:r>
                            <w:r>
                              <w:rPr>
                                <w:rFonts w:ascii="Times New Roman" w:hAnsi="Times New Roman"/>
                                <w:rtl w:val="0"/>
                              </w:rPr>
                              <w:t>and uncertainty patterns. Also described as applicable to operator competency assessment.</w:t>
                            </w:r>
                          </w:p>
                          <w:p>
                            <w:pPr>
                              <w:pStyle w:val="Table Style 2"/>
                            </w:pP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SEOM</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Safety-Embedded Objective Model</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Constitutional safety layer embedding regulatory and behavioral constraints into model objectives rather than post-processing filters. Intended to govern educational and companion-robot behavior.</w:t>
                            </w:r>
                          </w:p>
                        </w:tc>
                      </w:tr>
                      <w:tr>
                        <w:tblPrEx>
                          <w:shd w:val="clear" w:color="auto" w:fill="auto"/>
                        </w:tblPrEx>
                        <w:trPr>
                          <w:trHeight w:val="67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AMDC</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Adaptive Multi-Domain Calibration</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Builds individualized behavioral baselines and normalizes assessments against personal engagement patterns; intended to improve fairness and personalization</w:t>
                            </w:r>
                          </w:p>
                        </w:tc>
                      </w:tr>
                      <w:tr>
                        <w:tblPrEx>
                          <w:shd w:val="clear" w:color="auto" w:fill="auto"/>
                        </w:tblPrEx>
                        <w:trPr>
                          <w:trHeight w:val="111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HTD-IRL</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Hierarchical Task Decomposition via Inverse Reinforcement Learning</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Translates high-level objectives into structured pathways and decomposed tasks. In education, maps career goals into learning plans; conceptually applicable to complex robotic task planning.</w:t>
                            </w:r>
                          </w:p>
                        </w:tc>
                      </w:tr>
                      <w:tr>
                        <w:tblPrEx>
                          <w:shd w:val="clear" w:color="auto" w:fill="auto"/>
                        </w:tblPrEx>
                        <w:trPr>
                          <w:trHeight w:val="892" w:hRule="atLeast"/>
                        </w:trPr>
                        <w:tc>
                          <w:tcPr>
                            <w:tcW w:type="dxa" w:w="120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pPr>
                            <w:r>
                              <w:rPr>
                                <w:rFonts w:ascii="Times New Roman" w:hAnsi="Times New Roman"/>
                                <w:rtl w:val="0"/>
                              </w:rPr>
                              <w:t>CRL-MRS</w:t>
                            </w:r>
                          </w:p>
                        </w:tc>
                        <w:tc>
                          <w:tcPr>
                            <w:tcW w:type="dxa" w:w="18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Cooperative Reinforcement Learning for Multi-Robot Systems</w:t>
                            </w:r>
                          </w:p>
                        </w:tc>
                        <w:tc>
                          <w:tcPr>
                            <w:tcW w:type="dxa" w:w="62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2"/>
                            </w:pPr>
                            <w:r>
                              <w:rPr>
                                <w:rFonts w:ascii="Times New Roman" w:hAnsi="Times New Roman"/>
                                <w:rtl w:val="0"/>
                              </w:rPr>
                              <w:t>Multi-agent coordination framework derived from robot fleet management; intended to optimize collaboration among distributed agents and robot fleets.</w:t>
                            </w:r>
                          </w:p>
                        </w:tc>
                      </w:tr>
                    </w:tbl>
                  </w:txbxContent>
                </v:textbox>
                <w10:wrap type="none" side="bothSides" anchorx="page" anchory="page"/>
              </v:shape>
            </w:pict>
          </mc:Fallback>
        </mc:AlternateConten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pPr>
      <w:r>
        <w:rPr>
          <w:rFonts w:ascii="Times New Roman" w:cs="Times New Roman" w:hAnsi="Times New Roman" w:eastAsia="Times New Roman"/>
          <w:sz w:val="24"/>
          <w:szCs w:val="24"/>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