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Times New Roman" w:cs="Times New Roman" w:hAnsi="Times New Roman" w:eastAsia="Times New Roman"/>
          <w:b w:val="1"/>
          <w:bCs w:val="1"/>
          <w:sz w:val="26"/>
          <w:szCs w:val="26"/>
        </w:rPr>
      </w:pPr>
      <w:r>
        <w:rPr>
          <w:rFonts w:ascii="Times New Roman" w:hAnsi="Times New Roman"/>
          <w:b w:val="1"/>
          <w:bCs w:val="1"/>
          <w:sz w:val="26"/>
          <w:szCs w:val="26"/>
          <w:rtl w:val="0"/>
          <w:lang w:val="en-US"/>
        </w:rPr>
        <w:t>Senpai Buyer Framing: United States K</w:t>
      </w:r>
      <w:r>
        <w:rPr>
          <w:rFonts w:ascii="Times New Roman" w:hAnsi="Times New Roman" w:hint="default"/>
          <w:b w:val="1"/>
          <w:bCs w:val="1"/>
          <w:sz w:val="26"/>
          <w:szCs w:val="26"/>
          <w:rtl w:val="0"/>
        </w:rPr>
        <w:t>–</w:t>
      </w:r>
      <w:r>
        <w:rPr>
          <w:rFonts w:ascii="Times New Roman" w:hAnsi="Times New Roman"/>
          <w:b w:val="1"/>
          <w:bCs w:val="1"/>
          <w:sz w:val="26"/>
          <w:szCs w:val="26"/>
          <w:rtl w:val="0"/>
          <w:lang w:val="en-US"/>
        </w:rPr>
        <w:t>12 Supplementary Education Market</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clustering analysis identified three segments of educational AI markets, with the United States emerging as a distinct outlier characterized by the highest levels of internet penetration, educational development, and policy support. While overall student and teacher AI adoption rates were relatively similar across countries, the strongest differences between segments were infrastructure readiness and institutional capacity. These findings suggest that successful adoption of educational AI technologies is driven less by user interest and more by the ability of schools and education providers to implement and scale new technologies effectively.</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 US</w:t>
      </w:r>
      <w:r>
        <w:rPr>
          <w:rFonts w:ascii="Times New Roman" w:hAnsi="Times New Roman"/>
          <w:sz w:val="24"/>
          <w:szCs w:val="24"/>
          <w:rtl w:val="0"/>
          <w:lang w:val="en-US"/>
        </w:rPr>
        <w:t xml:space="preserve"> represents the most attractive initial market for Senpai because it combines strong technology readiness with a large and resource-constrained K</w:t>
      </w:r>
      <w:r>
        <w:rPr>
          <w:rFonts w:ascii="Times New Roman" w:hAnsi="Times New Roman"/>
          <w:sz w:val="24"/>
          <w:szCs w:val="24"/>
          <w:rtl w:val="0"/>
          <w:lang w:val="en-US"/>
        </w:rPr>
        <w:t>-</w:t>
      </w:r>
      <w:r>
        <w:rPr>
          <w:rFonts w:ascii="Times New Roman" w:hAnsi="Times New Roman"/>
          <w:sz w:val="24"/>
          <w:szCs w:val="24"/>
          <w:rtl w:val="0"/>
          <w:lang w:val="en-US"/>
        </w:rPr>
        <w:t>12 education system. During the 2022</w:t>
      </w:r>
      <w:r>
        <w:rPr>
          <w:rFonts w:ascii="Times New Roman" w:hAnsi="Times New Roman" w:hint="default"/>
          <w:sz w:val="24"/>
          <w:szCs w:val="24"/>
          <w:rtl w:val="0"/>
          <w:lang w:val="en-US"/>
        </w:rPr>
        <w:t>–</w:t>
      </w:r>
      <w:r>
        <w:rPr>
          <w:rFonts w:ascii="Times New Roman" w:hAnsi="Times New Roman"/>
          <w:sz w:val="24"/>
          <w:szCs w:val="24"/>
          <w:rtl w:val="0"/>
          <w:lang w:val="en-US"/>
        </w:rPr>
        <w:t>23 school year, the U</w:t>
      </w:r>
      <w:r>
        <w:rPr>
          <w:rFonts w:ascii="Times New Roman" w:hAnsi="Times New Roman"/>
          <w:sz w:val="24"/>
          <w:szCs w:val="24"/>
          <w:rtl w:val="0"/>
          <w:lang w:val="en-US"/>
        </w:rPr>
        <w:t>S</w:t>
      </w:r>
      <w:r>
        <w:rPr>
          <w:rFonts w:ascii="Times New Roman" w:hAnsi="Times New Roman"/>
          <w:sz w:val="24"/>
          <w:szCs w:val="24"/>
          <w:rtl w:val="0"/>
          <w:lang w:val="en-US"/>
        </w:rPr>
        <w:t xml:space="preserve"> served approximately 49.5 million public-school students across 99,409 schools and 19,204 school districts, supported by roughly 3.2 million teachers</w:t>
      </w:r>
      <w:r>
        <w:rPr>
          <w:rFonts w:ascii="Times New Roman" w:hAnsi="Times New Roman"/>
          <w:sz w:val="24"/>
          <w:szCs w:val="24"/>
          <w:rtl w:val="0"/>
          <w:lang w:val="en-US"/>
        </w:rPr>
        <w:t xml:space="preserve"> (</w:t>
      </w:r>
      <w:r>
        <w:rPr>
          <w:rFonts w:ascii="Times New Roman" w:hAnsi="Times New Roman"/>
          <w:b w:val="1"/>
          <w:bCs w:val="1"/>
          <w:sz w:val="24"/>
          <w:szCs w:val="24"/>
          <w:rtl w:val="0"/>
          <w:lang w:val="en-US"/>
        </w:rPr>
        <w:t>https://nces.ed.gov/ccd/tables/202223_summary_2.asp</w:t>
      </w:r>
      <w:r>
        <w:rPr>
          <w:rFonts w:ascii="Times New Roman" w:hAnsi="Times New Roman"/>
          <w:sz w:val="24"/>
          <w:szCs w:val="24"/>
          <w:rtl w:val="0"/>
          <w:lang w:val="en-US"/>
        </w:rPr>
        <w:t>)</w:t>
      </w:r>
      <w:r>
        <w:rPr>
          <w:rFonts w:ascii="Times New Roman" w:hAnsi="Times New Roman"/>
          <w:sz w:val="24"/>
          <w:szCs w:val="24"/>
          <w:rtl w:val="0"/>
          <w:lang w:val="en-US"/>
        </w:rPr>
        <w:t xml:space="preserve">. Despite this scale, the education system faces significant staffing challenges. A 2025 national analysis </w:t>
      </w:r>
      <w:r>
        <w:rPr>
          <w:rFonts w:ascii="Times New Roman" w:hAnsi="Times New Roman"/>
          <w:sz w:val="24"/>
          <w:szCs w:val="24"/>
          <w:rtl w:val="0"/>
          <w:lang w:val="en-US"/>
        </w:rPr>
        <w:t>(</w:t>
      </w:r>
      <w:r>
        <w:rPr>
          <w:rFonts w:ascii="Times New Roman" w:hAnsi="Times New Roman"/>
          <w:b w:val="1"/>
          <w:bCs w:val="1"/>
          <w:sz w:val="24"/>
          <w:szCs w:val="24"/>
          <w:rtl w:val="0"/>
          <w:lang w:val="en-US"/>
        </w:rPr>
        <w:t>https://learningpolicyinstitute.org/product/overview-teacher-shortages-2025-factsheet</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estimated that more than 411,000 teaching positions were either vacant or filled by teachers who were not fully certified for their </w:t>
      </w:r>
      <w:r>
        <w:rPr>
          <w:rFonts w:ascii="Times New Roman" w:hAnsi="Times New Roman"/>
          <w:sz w:val="24"/>
          <w:szCs w:val="24"/>
          <w:rtl w:val="0"/>
          <w:lang w:val="en-US"/>
        </w:rPr>
        <w:t>role</w:t>
      </w:r>
      <w:r>
        <w:rPr>
          <w:rFonts w:ascii="Times New Roman" w:hAnsi="Times New Roman"/>
          <w:sz w:val="24"/>
          <w:szCs w:val="24"/>
          <w:rtl w:val="0"/>
          <w:lang w:val="en-US"/>
        </w:rPr>
        <w:t>, representing approximately one in eight teaching positions nationwide.</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These conditions create demand for technologies that can support instructional capacity and improve personalization. The primary Senpai buyer is therefore a technology-ready educational organization seeking to deliver individualized learning experiences while operating under staffing and resource constraints. Potential buyers include public schoo</w:t>
      </w:r>
      <w:r>
        <w:rPr>
          <w:rFonts w:ascii="Times New Roman" w:hAnsi="Times New Roman"/>
          <w:sz w:val="24"/>
          <w:szCs w:val="24"/>
          <w:rtl w:val="0"/>
          <w:lang w:val="en-US"/>
        </w:rPr>
        <w:t>ls</w:t>
      </w:r>
      <w:r>
        <w:rPr>
          <w:rFonts w:ascii="Times New Roman" w:hAnsi="Times New Roman"/>
          <w:sz w:val="24"/>
          <w:szCs w:val="24"/>
          <w:rtl w:val="0"/>
          <w:lang w:val="en-US"/>
        </w:rPr>
        <w:t>, charter schoo</w:t>
      </w:r>
      <w:r>
        <w:rPr>
          <w:rFonts w:ascii="Times New Roman" w:hAnsi="Times New Roman"/>
          <w:sz w:val="24"/>
          <w:szCs w:val="24"/>
          <w:rtl w:val="0"/>
          <w:lang w:val="en-US"/>
        </w:rPr>
        <w:t>ls</w:t>
      </w:r>
      <w:r>
        <w:rPr>
          <w:rFonts w:ascii="Times New Roman" w:hAnsi="Times New Roman"/>
          <w:sz w:val="24"/>
          <w:szCs w:val="24"/>
          <w:rtl w:val="0"/>
          <w:lang w:val="en-US"/>
        </w:rPr>
        <w:t>, private schools, after</w:t>
      </w:r>
      <w:r>
        <w:rPr>
          <w:rFonts w:ascii="Times New Roman" w:hAnsi="Times New Roman"/>
          <w:sz w:val="24"/>
          <w:szCs w:val="24"/>
          <w:rtl w:val="0"/>
          <w:lang w:val="en-US"/>
        </w:rPr>
        <w:t xml:space="preserve"> </w:t>
      </w:r>
      <w:r>
        <w:rPr>
          <w:rFonts w:ascii="Times New Roman" w:hAnsi="Times New Roman"/>
          <w:sz w:val="24"/>
          <w:szCs w:val="24"/>
          <w:rtl w:val="0"/>
          <w:lang w:val="en-US"/>
        </w:rPr>
        <w:t xml:space="preserve">school enrichment providers, and tutoring </w:t>
      </w:r>
      <w:r>
        <w:rPr>
          <w:rFonts w:ascii="Times New Roman" w:hAnsi="Times New Roman"/>
          <w:sz w:val="24"/>
          <w:szCs w:val="24"/>
          <w:rtl w:val="0"/>
          <w:lang w:val="en-US"/>
        </w:rPr>
        <w:t>entities</w:t>
      </w:r>
      <w:r>
        <w:rPr>
          <w:rFonts w:ascii="Times New Roman" w:hAnsi="Times New Roman"/>
          <w:sz w:val="24"/>
          <w:szCs w:val="24"/>
          <w:rtl w:val="0"/>
        </w:rPr>
        <w:t>.</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 xml:space="preserve">The core customer need is the ability to provide personalized support to large numbers of students without proportionally increasing instructional staffing. With an average pupil-teacher ratio of 15.4:1 </w:t>
      </w:r>
      <w:r>
        <w:rPr>
          <w:rFonts w:ascii="Times New Roman" w:hAnsi="Times New Roman"/>
          <w:sz w:val="24"/>
          <w:szCs w:val="24"/>
          <w:rtl w:val="0"/>
          <w:lang w:val="en-US"/>
        </w:rPr>
        <w:t>(</w:t>
      </w:r>
      <w:r>
        <w:rPr>
          <w:rFonts w:ascii="Times New Roman" w:hAnsi="Times New Roman"/>
          <w:b w:val="1"/>
          <w:bCs w:val="1"/>
          <w:sz w:val="24"/>
          <w:szCs w:val="24"/>
          <w:rtl w:val="0"/>
          <w:lang w:val="en-US"/>
        </w:rPr>
        <w:t>https://nces.ed.gov/ccd/tables/202223_summary_2.asp</w:t>
      </w:r>
      <w:r>
        <w:rPr>
          <w:rFonts w:ascii="Times New Roman" w:hAnsi="Times New Roman"/>
          <w:sz w:val="24"/>
          <w:szCs w:val="24"/>
          <w:rtl w:val="0"/>
          <w:lang w:val="en-US"/>
        </w:rPr>
        <w:t>) in 2022</w:t>
      </w:r>
      <w:r>
        <w:rPr>
          <w:rFonts w:ascii="Times New Roman" w:hAnsi="Times New Roman" w:hint="default"/>
          <w:sz w:val="24"/>
          <w:szCs w:val="24"/>
          <w:rtl w:val="0"/>
          <w:lang w:val="en-US"/>
        </w:rPr>
        <w:t>–</w:t>
      </w:r>
      <w:r>
        <w:rPr>
          <w:rFonts w:ascii="Times New Roman" w:hAnsi="Times New Roman"/>
          <w:sz w:val="24"/>
          <w:szCs w:val="24"/>
          <w:rtl w:val="0"/>
          <w:lang w:val="en-US"/>
        </w:rPr>
        <w:t xml:space="preserve">23 </w:t>
      </w:r>
      <w:r>
        <w:rPr>
          <w:rFonts w:ascii="Times New Roman" w:hAnsi="Times New Roman"/>
          <w:sz w:val="24"/>
          <w:szCs w:val="24"/>
          <w:rtl w:val="0"/>
          <w:lang w:val="en-US"/>
        </w:rPr>
        <w:t>and ongoing teacher shortages, educators face increasing pressure to meet diverse student needs while managing limited time and resources. AI-powered learning platforms such as Senpai can help address this challenge by providing scalable educational assistance, adaptive learning experiences, and supplemental instruction support.</w:t>
      </w:r>
    </w:p>
    <w:p>
      <w:pPr>
        <w:pStyle w:val="Body"/>
        <w:rPr>
          <w:rFonts w:ascii="Times New Roman" w:cs="Times New Roman" w:hAnsi="Times New Roman" w:eastAsia="Times New Roman"/>
          <w:sz w:val="24"/>
          <w:szCs w:val="24"/>
        </w:rPr>
      </w:pPr>
    </w:p>
    <w:p>
      <w:pPr>
        <w:pStyle w:val="Body"/>
      </w:pPr>
      <w:r>
        <w:rPr>
          <w:rFonts w:ascii="Times New Roman" w:hAnsi="Times New Roman"/>
          <w:sz w:val="24"/>
          <w:szCs w:val="24"/>
          <w:rtl w:val="0"/>
          <w:lang w:val="en-US"/>
        </w:rPr>
        <w:t>The clustering results reinforce a broader adoption pattern observed throughout the project: readiness and implementation capacity are stronger predictors of technology adoption than demand alone. Because the U</w:t>
      </w:r>
      <w:r>
        <w:rPr>
          <w:rFonts w:ascii="Times New Roman" w:hAnsi="Times New Roman"/>
          <w:sz w:val="24"/>
          <w:szCs w:val="24"/>
          <w:rtl w:val="0"/>
          <w:lang w:val="en-US"/>
        </w:rPr>
        <w:t>S</w:t>
      </w:r>
      <w:r>
        <w:rPr>
          <w:rFonts w:ascii="Times New Roman" w:hAnsi="Times New Roman"/>
          <w:sz w:val="24"/>
          <w:szCs w:val="24"/>
          <w:rtl w:val="0"/>
        </w:rPr>
        <w:t xml:space="preserve"> </w:t>
      </w:r>
      <w:r>
        <w:rPr>
          <w:rFonts w:ascii="Times New Roman" w:hAnsi="Times New Roman"/>
          <w:sz w:val="24"/>
          <w:szCs w:val="24"/>
          <w:rtl w:val="0"/>
          <w:lang w:val="en-US"/>
        </w:rPr>
        <w:t>shows</w:t>
      </w:r>
      <w:r>
        <w:rPr>
          <w:rFonts w:ascii="Times New Roman" w:hAnsi="Times New Roman"/>
          <w:sz w:val="24"/>
          <w:szCs w:val="24"/>
          <w:rtl w:val="0"/>
          <w:lang w:val="en-US"/>
        </w:rPr>
        <w:t xml:space="preserve"> the strongest combination of infrastructure readiness, educational development, and institutional capacity among the countries analyzed, it represents the most promising market for Senpai</w:t>
      </w:r>
      <w:r>
        <w:rPr>
          <w:rFonts w:ascii="Times New Roman" w:hAnsi="Times New Roman"/>
          <w:sz w:val="24"/>
          <w:szCs w:val="24"/>
          <w:rtl w:val="0"/>
          <w:lang w:val="en-US"/>
        </w:rPr>
        <w:t xml:space="preserve">.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