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br/>
        <w:t>Automated Teller Machine (ATM) Switching &amp; Host Gateway</w:t>
      </w:r>
    </w:p>
    <w:p>
      <w:pPr>
        <w:jc w:val="center"/>
      </w:pPr>
      <w:r>
        <w:t>Standard Compliance: IEEE Std 830-1998 / ISO/IEC/IEEE 29148:2018</w:t>
        <w:br/>
        <w:t>System Version: 2.4.0</w:t>
        <w:br/>
        <w:t>Prepared for: Retail Banking Division &amp; ATM Switch Architecture Council</w:t>
        <w:br/>
        <w:t>Statutory Mandate: RBI Cyber Security Framework &amp; NPCI NFS Operating Guidelines</w:t>
      </w:r>
    </w:p>
    <w:p>
      <w:r>
        <w:br w:type="page"/>
      </w:r>
    </w:p>
    <w:p>
      <w:pPr>
        <w:pStyle w:val="Heading1"/>
      </w:pPr>
      <w:r>
        <w:t>1. Introduction</w:t>
      </w:r>
    </w:p>
    <w:p>
      <w:pPr>
        <w:pStyle w:val="Heading2"/>
      </w:pPr>
      <w:r>
        <w:t>1.1 Purpose</w:t>
      </w:r>
    </w:p>
    <w:p>
      <w:r>
        <w:t>This Software Requirements Specification (SRS) details the complete functional, non-functional, external interface, and regulatory compliance requirements for the Next-Generation ATM Switch and Terminal Controller Software. It serves as the formal baseline for development, verification (V-Model stage gates), and CERT-In empanelled security audits.</w:t>
      </w:r>
    </w:p>
    <w:p>
      <w:pPr>
        <w:pStyle w:val="Heading2"/>
      </w:pPr>
      <w:r>
        <w:t>1.2 Scope</w:t>
      </w:r>
    </w:p>
    <w:p>
      <w:r>
        <w:t>The software manages ATM hardware peripherals (EMV Card Reader, Encrypted PIN Pad, Cash Dispenser, Bill Validator, Vault Sensors) and interfaces with the National Payments Corporation of India (NPCI) National Financial Switch (NFS) via ISO 8583 and NDC+ protocol engines.</w:t>
      </w:r>
    </w:p>
    <w:p>
      <w:pPr>
        <w:pStyle w:val="Heading2"/>
      </w:pPr>
      <w:r>
        <w:t>1.3 Definitions and Acronyms</w:t>
      </w:r>
    </w:p>
    <w:tbl>
      <w:tblPr>
        <w:tblW w:type="auto" w:w="0"/>
        <w:jc w:val="center"/>
        <w:tblLook w:firstColumn="1" w:firstRow="1" w:lastColumn="0" w:lastRow="0" w:noHBand="0" w:noVBand="1" w:val="04A0"/>
      </w:tblPr>
      <w:tblGrid>
        <w:gridCol w:w="4320"/>
        <w:gridCol w:w="4320"/>
      </w:tblGrid>
      <w:tr>
        <w:tc>
          <w:tcPr>
            <w:tcW w:type="dxa" w:w="4320"/>
          </w:tcPr>
          <w:p>
            <w:r>
              <w:t>Term / Acronym</w:t>
            </w:r>
          </w:p>
        </w:tc>
        <w:tc>
          <w:tcPr>
            <w:tcW w:type="dxa" w:w="4320"/>
          </w:tcPr>
          <w:p>
            <w:r>
              <w:t>Definition</w:t>
            </w:r>
          </w:p>
        </w:tc>
      </w:tr>
      <w:tr>
        <w:tc>
          <w:tcPr>
            <w:tcW w:type="dxa" w:w="4320"/>
          </w:tcPr>
          <w:p>
            <w:r>
              <w:t>ISO 8583</w:t>
            </w:r>
          </w:p>
        </w:tc>
        <w:tc>
          <w:tcPr>
            <w:tcW w:type="dxa" w:w="4320"/>
          </w:tcPr>
          <w:p>
            <w:r>
              <w:t>International standard for financial transaction card originated interchange messaging.</w:t>
            </w:r>
          </w:p>
        </w:tc>
      </w:tr>
      <w:tr>
        <w:tc>
          <w:tcPr>
            <w:tcW w:type="dxa" w:w="4320"/>
          </w:tcPr>
          <w:p>
            <w:r>
              <w:t>HSM</w:t>
            </w:r>
          </w:p>
        </w:tc>
        <w:tc>
          <w:tcPr>
            <w:tcW w:type="dxa" w:w="4320"/>
          </w:tcPr>
          <w:p>
            <w:r>
              <w:t>Hardware Security Module certified under FIPS 140-3 Level 3 for cryptographic key storage.</w:t>
            </w:r>
          </w:p>
        </w:tc>
      </w:tr>
      <w:tr>
        <w:tc>
          <w:tcPr>
            <w:tcW w:type="dxa" w:w="4320"/>
          </w:tcPr>
          <w:p>
            <w:r>
              <w:t>EPP</w:t>
            </w:r>
          </w:p>
        </w:tc>
        <w:tc>
          <w:tcPr>
            <w:tcW w:type="dxa" w:w="4320"/>
          </w:tcPr>
          <w:p>
            <w:r>
              <w:t>Encrypted PIN Pad certified under PCI PTS (PIN Transaction Security).</w:t>
            </w:r>
          </w:p>
        </w:tc>
      </w:tr>
      <w:tr>
        <w:tc>
          <w:tcPr>
            <w:tcW w:type="dxa" w:w="4320"/>
          </w:tcPr>
          <w:p>
            <w:r>
              <w:t>NDC+</w:t>
            </w:r>
          </w:p>
        </w:tc>
        <w:tc>
          <w:tcPr>
            <w:tcW w:type="dxa" w:w="4320"/>
          </w:tcPr>
          <w:p>
            <w:r>
              <w:t>NCR Direct Connect messaging protocol for ATM device terminal management.</w:t>
            </w:r>
          </w:p>
        </w:tc>
      </w:tr>
      <w:tr>
        <w:tc>
          <w:tcPr>
            <w:tcW w:type="dxa" w:w="4320"/>
          </w:tcPr>
          <w:p>
            <w:r>
              <w:t>AFA</w:t>
            </w:r>
          </w:p>
        </w:tc>
        <w:tc>
          <w:tcPr>
            <w:tcW w:type="dxa" w:w="4320"/>
          </w:tcPr>
          <w:p>
            <w:r>
              <w:t>Additional Factor of Authentication mandated by RBI Master Directions.</w:t>
            </w:r>
          </w:p>
        </w:tc>
      </w:tr>
    </w:tbl>
    <w:p>
      <w:pPr>
        <w:pStyle w:val="Heading1"/>
      </w:pPr>
      <w:r>
        <w:t>2. Overall Description</w:t>
      </w:r>
    </w:p>
    <w:p>
      <w:pPr>
        <w:pStyle w:val="Heading2"/>
      </w:pPr>
      <w:r>
        <w:t>2.1 Product Perspective</w:t>
      </w:r>
    </w:p>
    <w:p>
      <w:r>
        <w:t>The ATM Switch software operates as a high-availability distributed server cluster connecting thousands of front-end ATM terminals to the Core Banking System (CBS) and interbank payment switches.</w:t>
      </w:r>
    </w:p>
    <w:p>
      <w:pPr>
        <w:pStyle w:val="Heading2"/>
      </w:pPr>
      <w:r>
        <w:t>2.2 Operating Environment</w:t>
      </w:r>
    </w:p>
    <w:p>
      <w:r>
        <w:t>- OS: Hardened Linux LTS / Embedded Windows IoT Enterprise with Secure Boot enabled.</w:t>
        <w:br/>
        <w:t>- Cryptographic Subsystem: Dedicated PCI-HSM over mTLS.</w:t>
        <w:br/>
        <w:t>- Network: Encrypted MPLS leased lines with automatic cellular backup (IPSec VPN).</w:t>
      </w:r>
    </w:p>
    <w:p>
      <w:pPr>
        <w:pStyle w:val="Heading1"/>
      </w:pPr>
      <w:r>
        <w:t>3. Specific Requirements</w:t>
      </w:r>
    </w:p>
    <w:p>
      <w:pPr>
        <w:pStyle w:val="Heading2"/>
      </w:pPr>
      <w:r>
        <w:t>3.1 Functional Requirements</w:t>
      </w:r>
    </w:p>
    <w:p>
      <w:pPr>
        <w:pStyle w:val="Heading3"/>
      </w:pPr>
      <w:r>
        <w:t>REQ-ATM-01: EMV Chip Transaction Processing [Must Have]</w:t>
      </w:r>
    </w:p>
    <w:p>
      <w:r>
        <w:t>The system shall read EMV chip data, perform Application Cryptogram (ARQC) generation, and forward cryptograms to the issuing bank host for online authorization. Fallback to magnetic stripe processing shall be strictly blocked.</w:t>
      </w:r>
    </w:p>
    <w:p>
      <w:pPr>
        <w:pStyle w:val="Heading3"/>
      </w:pPr>
      <w:r>
        <w:t>REQ-ATM-02: Encrypted PIN Translation [Must Have]</w:t>
      </w:r>
    </w:p>
    <w:p>
      <w:r>
        <w:t>The system shall translate encrypted PIN blocks between the terminal zone master key (ZMK) and the interchange zone encryption key (ZEK) solely within the FIPS 140-3 HSM memory perimeter with zero plaintext PIN exposure.</w:t>
      </w:r>
    </w:p>
    <w:p>
      <w:pPr>
        <w:pStyle w:val="Heading3"/>
      </w:pPr>
      <w:r>
        <w:t>REQ-ATM-03: Dual-Custody Electronic Vault Code Dispatch [Must Have]</w:t>
      </w:r>
    </w:p>
    <w:p>
      <w:r>
        <w:t>The software shall enforce two-person dual custody for cash replenishment by generating paired, time-bound (15-minute validity) dynamic electronic vault safe lock codes.</w:t>
      </w:r>
    </w:p>
    <w:p>
      <w:pPr>
        <w:pStyle w:val="Heading3"/>
      </w:pPr>
      <w:r>
        <w:t>REQ-ATM-04: Automated Cryptographic Key Zeroization [Must Have]</w:t>
      </w:r>
    </w:p>
    <w:p>
      <w:r>
        <w:t>Upon detection of physical terminal tampering (tilt sensor, enclosure door switch breach, or thermal shock), the firmware shall initiate instant cryptographic zeroization of memory-resident session keys and broadcast an emergency siren event within 2 seconds.</w:t>
      </w:r>
    </w:p>
    <w:p>
      <w:pPr>
        <w:pStyle w:val="Heading2"/>
      </w:pPr>
      <w:r>
        <w:t>3.2 Non-Functional &amp; Security Requirements</w:t>
      </w:r>
    </w:p>
    <w:p>
      <w:r>
        <w:t>- Performance: End-to-end transaction processing latency shall not exceed 800 milliseconds under 2,000 TPS peak load.</w:t>
        <w:br/>
        <w:t>- Availability: High-availability active-active switch architecture providing 99.99% system uptime.</w:t>
        <w:br/>
        <w:t>- Auditability: Tamper-proof WORM audit trail logging with microsecond NTP time sync, retained for a statutory 10-year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