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br/>
        <w:t>Unified Payments Interface (UPI) AutoPay Recurring Mandate Engine</w:t>
      </w:r>
    </w:p>
    <w:p>
      <w:pPr>
        <w:jc w:val="center"/>
      </w:pPr>
      <w:r>
        <w:t>Standard: IEEE Std 830-1998 / NPCI Procedural Guidelines OC-115 / RBI Digital Payment Security Controls</w:t>
        <w:br/>
        <w:t>System: UPI AutoPay Switch Engine v3.1</w:t>
        <w:br/>
        <w:t>Scope: Real-Time Mandate Processing, Pre-Debit Notification &amp; Settlement Clearing</w:t>
      </w:r>
    </w:p>
    <w:p>
      <w:r>
        <w:br w:type="page"/>
      </w:r>
    </w:p>
    <w:p>
      <w:pPr>
        <w:pStyle w:val="Heading1"/>
      </w:pPr>
      <w:r>
        <w:t>1. Introduction</w:t>
      </w:r>
    </w:p>
    <w:p>
      <w:r>
        <w:t>This document outlines the formal software requirements specification for the UPI AutoPay Recurring Mandate Engine. The platform automates standing recurring debits for utility bills, loan EMIs, insurance premiums, and OTT subscriptions over the NPCI UPI network.</w:t>
      </w:r>
    </w:p>
    <w:p>
      <w:pPr>
        <w:pStyle w:val="Heading1"/>
      </w:pPr>
      <w:r>
        <w:t>2. Regulatory Governance &amp; SDLC Mapping</w:t>
      </w:r>
    </w:p>
    <w:p>
      <w:r>
        <w:t>Per RBI Master Direction on Digital Payment Security Controls and NPCI UPI Operating Guidelines:</w:t>
        <w:br/>
        <w:t>- SDLC Model: Agile-DevSecOps with Automated Security Quality Gates for consumer mobile apps, coupled with V-Model verification for the core transactional debit engine.</w:t>
        <w:br/>
        <w:t>- CI/CD Gates: Mandatory SAST blocking on High/Critical findings, Dependency SCA for CVEs, and Maker-Checker release sign-off.</w:t>
      </w:r>
    </w:p>
    <w:p>
      <w:pPr>
        <w:pStyle w:val="Heading1"/>
      </w:pPr>
      <w:r>
        <w:t>3. Functional Requirements</w:t>
      </w:r>
    </w:p>
    <w:p>
      <w:pPr>
        <w:pStyle w:val="Heading2"/>
      </w:pPr>
      <w:r>
        <w:t>REQ-UPI-01: Mandate Registration with Additional Factor of Authentication (AFA) [Must Have]</w:t>
      </w:r>
    </w:p>
    <w:p>
      <w:r>
        <w:t>The system shall capture mandate parameters (UMN, max amount, frequency, validity start/end date) and authenticate the payer using 2-Factor Authentication (UPI PIN or Biometric via NPCI Common Library).</w:t>
      </w:r>
    </w:p>
    <w:p>
      <w:pPr>
        <w:pStyle w:val="Heading2"/>
      </w:pPr>
      <w:r>
        <w:t>REQ-UPI-02: Mandatory 24-Hour Pre-Debit Notification [Must Have]</w:t>
      </w:r>
    </w:p>
    <w:p>
      <w:r>
        <w:t>The system shall automatically dispatch pre-debit notifications via SMS and Push Notification to the payer at least 24 hours prior to initiating any recurring mandate execution, including clear merchant name, debit amount, date, and UMN.</w:t>
      </w:r>
    </w:p>
    <w:p>
      <w:pPr>
        <w:pStyle w:val="Heading2"/>
      </w:pPr>
      <w:r>
        <w:t>REQ-UPI-03: Dynamic Mandate Pause, Modification, and Revocation UI [Must Have]</w:t>
      </w:r>
    </w:p>
    <w:p>
      <w:r>
        <w:t>The client interface shall provide the consumer with explicit one-click options to pause, resume, modify limit, or revoke any active mandate instantly without merchant consent.</w:t>
      </w:r>
    </w:p>
    <w:p>
      <w:pPr>
        <w:pStyle w:val="Heading2"/>
      </w:pPr>
      <w:r>
        <w:t>REQ-UPI-04: Idempotent Transaction Execution &amp; Clearing [Must Have]</w:t>
      </w:r>
    </w:p>
    <w:p>
      <w:r>
        <w:t>The switch engine shall enforce strict UUID idempotency keys across all debit requests, guaranteeing zero duplicate debits in network timeout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