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keepNext w:val="true"/>
        <w:keepLines/>
        <w:spacing w:before="480" w:after="240"/>
        <w:jc w:val="center"/>
        <w:rPr>
          <w:lang w:val="pt-BR" w:eastAsia="en-US" w:bidi="ar-SA"/>
        </w:rPr>
      </w:pPr>
      <w:r>
        <w:rPr>
          <w:lang w:val="pt-BR" w:eastAsia="en-US" w:bidi="ar-SA"/>
        </w:rPr>
        <w:t>Otimização de hiperparâmetros de clusterização hierárquica para identificação de deputados evangélicos de corporações pentecostais eleitos em 2018</w:t>
      </w:r>
    </w:p>
    <w:p>
      <w:pPr>
        <w:pStyle w:val="Subttulo"/>
        <w:rPr>
          <w:lang w:val="pt-BR" w:eastAsia="en-US" w:bidi="ar-SA"/>
        </w:rPr>
      </w:pPr>
      <w:r>
        <w:rPr>
          <w:lang w:val="pt-BR" w:eastAsia="en-US" w:bidi="ar-SA"/>
        </w:rPr>
        <w:t>DOCUMENTO: SAR-2021-017-JG-v01</w:t>
      </w:r>
    </w:p>
    <w:p>
      <w:pPr>
        <w:pStyle w:val="Author"/>
        <w:rPr>
          <w:lang w:val="pt-BR" w:eastAsia="en-US" w:bidi="ar-SA"/>
        </w:rPr>
      </w:pPr>
      <w:r>
        <w:rPr>
          <w:b/>
          <w:bCs/>
          <w:lang w:val="pt-BR" w:eastAsia="en-US" w:bidi="ar-SA"/>
        </w:rPr>
        <w:t>De:</w:t>
      </w:r>
      <w:r>
        <w:rPr>
          <w:lang w:val="pt-BR" w:eastAsia="en-US" w:bidi="ar-SA"/>
        </w:rPr>
        <w:t xml:space="preserve"> Felipe Figueiredo </w:t>
      </w:r>
      <w:r>
        <w:rPr>
          <w:b/>
          <w:bCs/>
          <w:lang w:val="pt-BR" w:eastAsia="en-US" w:bidi="ar-SA"/>
        </w:rPr>
        <w:t>Para:</w:t>
      </w:r>
      <w:r>
        <w:rPr>
          <w:lang w:val="pt-BR" w:eastAsia="en-US" w:bidi="ar-SA"/>
        </w:rPr>
        <w:t xml:space="preserve"> Josir Gomes</w:t>
      </w:r>
    </w:p>
    <w:p>
      <w:pPr>
        <w:pStyle w:val="Date"/>
        <w:rPr>
          <w:lang w:val="pt-BR" w:eastAsia="en-US" w:bidi="ar-SA"/>
        </w:rPr>
      </w:pPr>
      <w:r>
        <w:rPr>
          <w:lang w:val="pt-BR" w:eastAsia="en-US" w:bidi="ar-SA"/>
        </w:rPr>
        <w:t>2021-11-18</w:t>
      </w:r>
    </w:p>
    <w:sdt>
      <w:sdtPr>
        <w:docPartObj>
          <w:docPartGallery w:val="Table of Contents"/>
          <w:docPartUnique w:val="true"/>
        </w:docPartObj>
      </w:sdtPr>
      <w:sdtContent>
        <w:p>
          <w:pPr>
            <w:pStyle w:val="Ttulodosumrio"/>
            <w:suppressLineNumbers/>
            <w:ind w:left="0" w:hanging="0"/>
            <w:rPr>
              <w:b/>
              <w:b/>
              <w:bCs/>
              <w:sz w:val="32"/>
              <w:szCs w:val="32"/>
              <w:lang w:val="pt-BR" w:eastAsia="en-US" w:bidi="ar-SA"/>
            </w:rPr>
          </w:pPr>
          <w:r>
            <w:rPr>
              <w:b/>
              <w:bCs/>
              <w:sz w:val="32"/>
              <w:szCs w:val="32"/>
              <w:lang w:val="pt-BR" w:eastAsia="en-US" w:bidi="ar-SA"/>
            </w:rPr>
            <w:t>Sumário</w:t>
          </w:r>
        </w:p>
        <w:p>
          <w:pPr>
            <w:pStyle w:val="Sumrio1"/>
            <w:tabs>
              <w:tab w:val="clear" w:pos="9360"/>
              <w:tab w:val="right" w:pos="9638" w:leader="dot"/>
            </w:tabs>
            <w:rPr/>
          </w:pPr>
          <w:r>
            <w:fldChar w:fldCharType="begin"/>
          </w:r>
          <w:r>
            <w:rPr>
              <w:webHidden/>
              <w:rStyle w:val="Vnculodendice"/>
              <w:lang w:val="pt-BR" w:eastAsia="en-US" w:bidi="ar-SA"/>
            </w:rPr>
            <w:instrText> TOC \z \o "1-3" \u \h</w:instrText>
          </w:r>
          <w:r>
            <w:rPr>
              <w:webHidden/>
              <w:rStyle w:val="Vnculodendice"/>
              <w:lang w:val="pt-BR" w:eastAsia="en-US" w:bidi="ar-SA"/>
            </w:rPr>
            <w:fldChar w:fldCharType="separate"/>
          </w:r>
          <w:hyperlink w:anchor="__RefHeading___Toc2463_4135361525">
            <w:r>
              <w:rPr>
                <w:webHidden/>
                <w:rStyle w:val="Vnculodendice"/>
                <w:lang w:val="pt-BR" w:eastAsia="en-US" w:bidi="ar-SA"/>
              </w:rPr>
              <w:t xml:space="preserve"> </w:t>
            </w:r>
            <w:r>
              <w:rPr>
                <w:rStyle w:val="Vnculodendice"/>
                <w:lang w:val="pt-BR" w:eastAsia="en-US" w:bidi="ar-SA"/>
              </w:rPr>
              <w:t>1  Lista de abreviaturas</w:t>
              <w:tab/>
              <w:t>2</w:t>
            </w:r>
          </w:hyperlink>
        </w:p>
        <w:p>
          <w:pPr>
            <w:pStyle w:val="Sumrio1"/>
            <w:tabs>
              <w:tab w:val="clear" w:pos="9360"/>
              <w:tab w:val="right" w:pos="9638" w:leader="dot"/>
            </w:tabs>
            <w:rPr/>
          </w:pPr>
          <w:hyperlink w:anchor="__RefHeading___Toc2465_4135361525">
            <w:r>
              <w:rPr>
                <w:webHidden/>
                <w:rStyle w:val="Vnculodendice"/>
                <w:lang w:val="pt-BR" w:eastAsia="en-US" w:bidi="ar-SA"/>
              </w:rPr>
              <w:t xml:space="preserve"> </w:t>
            </w:r>
            <w:r>
              <w:rPr>
                <w:rStyle w:val="Vnculodendice"/>
                <w:lang w:val="pt-BR" w:eastAsia="en-US" w:bidi="ar-SA"/>
              </w:rPr>
              <w:t>2  Contexto</w:t>
              <w:tab/>
              <w:t>2</w:t>
            </w:r>
          </w:hyperlink>
        </w:p>
        <w:p>
          <w:pPr>
            <w:pStyle w:val="Sumrio2"/>
            <w:tabs>
              <w:tab w:val="clear" w:pos="9077"/>
              <w:tab w:val="right" w:pos="9638" w:leader="dot"/>
            </w:tabs>
            <w:rPr/>
          </w:pPr>
          <w:hyperlink w:anchor="__RefHeading___Toc2467_4135361525">
            <w:r>
              <w:rPr>
                <w:webHidden/>
                <w:rStyle w:val="Vnculodendice"/>
                <w:lang w:val="pt-BR" w:eastAsia="en-US" w:bidi="ar-SA"/>
              </w:rPr>
              <w:t xml:space="preserve"> </w:t>
            </w:r>
            <w:r>
              <w:rPr>
                <w:rStyle w:val="Vnculodendice"/>
                <w:lang w:val="pt-BR" w:eastAsia="en-US" w:bidi="ar-SA"/>
              </w:rPr>
              <w:t>2.1  Objetivos</w:t>
              <w:tab/>
              <w:t>2</w:t>
            </w:r>
          </w:hyperlink>
        </w:p>
        <w:p>
          <w:pPr>
            <w:pStyle w:val="Sumrio2"/>
            <w:tabs>
              <w:tab w:val="clear" w:pos="9077"/>
              <w:tab w:val="right" w:pos="9638" w:leader="dot"/>
            </w:tabs>
            <w:rPr/>
          </w:pPr>
          <w:hyperlink w:anchor="__RefHeading___Toc2469_4135361525">
            <w:r>
              <w:rPr>
                <w:webHidden/>
                <w:rStyle w:val="Vnculodendice"/>
                <w:lang w:val="pt-BR" w:eastAsia="en-US" w:bidi="ar-SA"/>
              </w:rPr>
              <w:t xml:space="preserve"> </w:t>
            </w:r>
            <w:r>
              <w:rPr>
                <w:rStyle w:val="Vnculodendice"/>
                <w:lang w:val="pt-BR" w:eastAsia="en-US" w:bidi="ar-SA"/>
              </w:rPr>
              <w:t>2.2  Recepção e tratamento dos dados</w:t>
              <w:tab/>
              <w:t>2</w:t>
            </w:r>
          </w:hyperlink>
        </w:p>
        <w:p>
          <w:pPr>
            <w:pStyle w:val="Sumrio1"/>
            <w:tabs>
              <w:tab w:val="clear" w:pos="9360"/>
              <w:tab w:val="right" w:pos="9638" w:leader="dot"/>
            </w:tabs>
            <w:rPr/>
          </w:pPr>
          <w:hyperlink w:anchor="__RefHeading___Toc2471_4135361525">
            <w:r>
              <w:rPr>
                <w:webHidden/>
                <w:rStyle w:val="Vnculodendice"/>
                <w:lang w:val="pt-BR" w:eastAsia="en-US" w:bidi="ar-SA"/>
              </w:rPr>
              <w:t xml:space="preserve"> </w:t>
            </w:r>
            <w:r>
              <w:rPr>
                <w:rStyle w:val="Vnculodendice"/>
                <w:lang w:val="pt-BR" w:eastAsia="en-US" w:bidi="ar-SA"/>
              </w:rPr>
              <w:t>3  Metodologia</w:t>
              <w:tab/>
              <w:t>3</w:t>
            </w:r>
          </w:hyperlink>
        </w:p>
        <w:p>
          <w:pPr>
            <w:pStyle w:val="Sumrio2"/>
            <w:tabs>
              <w:tab w:val="clear" w:pos="9077"/>
              <w:tab w:val="right" w:pos="9638" w:leader="dot"/>
            </w:tabs>
            <w:rPr/>
          </w:pPr>
          <w:hyperlink w:anchor="__RefHeading___Toc2473_4135361525">
            <w:r>
              <w:rPr>
                <w:webHidden/>
                <w:rStyle w:val="Vnculodendice"/>
                <w:lang w:val="pt-BR" w:eastAsia="en-US" w:bidi="ar-SA"/>
              </w:rPr>
              <w:t xml:space="preserve"> </w:t>
            </w:r>
            <w:r>
              <w:rPr>
                <w:rStyle w:val="Vnculodendice"/>
                <w:lang w:val="pt-BR" w:eastAsia="en-US" w:bidi="ar-SA"/>
              </w:rPr>
              <w:t>3.1  Variáveis</w:t>
              <w:tab/>
              <w:t>3</w:t>
            </w:r>
          </w:hyperlink>
        </w:p>
        <w:p>
          <w:pPr>
            <w:pStyle w:val="Sumrio3"/>
            <w:tabs>
              <w:tab w:val="clear" w:pos="8794"/>
              <w:tab w:val="right" w:pos="9638" w:leader="dot"/>
            </w:tabs>
            <w:rPr/>
          </w:pPr>
          <w:hyperlink w:anchor="__RefHeading___Toc2475_4135361525">
            <w:r>
              <w:rPr>
                <w:webHidden/>
                <w:rStyle w:val="Vnculodendice"/>
                <w:lang w:val="pt-BR" w:eastAsia="en-US" w:bidi="ar-SA"/>
              </w:rPr>
              <w:t xml:space="preserve"> </w:t>
            </w:r>
            <w:r>
              <w:rPr>
                <w:rStyle w:val="Vnculodendice"/>
                <w:lang w:val="pt-BR" w:eastAsia="en-US" w:bidi="ar-SA"/>
              </w:rPr>
              <w:t>3.1.1  Desfechos primário e secundário</w:t>
              <w:tab/>
              <w:t>3</w:t>
            </w:r>
          </w:hyperlink>
        </w:p>
        <w:p>
          <w:pPr>
            <w:pStyle w:val="Sumrio3"/>
            <w:tabs>
              <w:tab w:val="clear" w:pos="8794"/>
              <w:tab w:val="right" w:pos="9638" w:leader="dot"/>
            </w:tabs>
            <w:rPr/>
          </w:pPr>
          <w:hyperlink w:anchor="__RefHeading___Toc2477_4135361525">
            <w:r>
              <w:rPr>
                <w:webHidden/>
                <w:rStyle w:val="Vnculodendice"/>
                <w:lang w:val="pt-BR" w:eastAsia="en-US" w:bidi="ar-SA"/>
              </w:rPr>
              <w:t xml:space="preserve"> </w:t>
            </w:r>
            <w:r>
              <w:rPr>
                <w:rStyle w:val="Vnculodendice"/>
                <w:lang w:val="pt-BR" w:eastAsia="en-US" w:bidi="ar-SA"/>
              </w:rPr>
              <w:t>3.1.2  Covariáveis</w:t>
              <w:tab/>
              <w:t>3</w:t>
            </w:r>
          </w:hyperlink>
        </w:p>
        <w:p>
          <w:pPr>
            <w:pStyle w:val="Sumrio2"/>
            <w:tabs>
              <w:tab w:val="clear" w:pos="9077"/>
              <w:tab w:val="right" w:pos="9638" w:leader="dot"/>
            </w:tabs>
            <w:rPr/>
          </w:pPr>
          <w:hyperlink w:anchor="__RefHeading___Toc2479_4135361525">
            <w:r>
              <w:rPr>
                <w:webHidden/>
                <w:rStyle w:val="Vnculodendice"/>
                <w:lang w:val="pt-BR" w:eastAsia="en-US" w:bidi="ar-SA"/>
              </w:rPr>
              <w:t xml:space="preserve"> </w:t>
            </w:r>
            <w:r>
              <w:rPr>
                <w:rStyle w:val="Vnculodendice"/>
                <w:lang w:val="pt-BR" w:eastAsia="en-US" w:bidi="ar-SA"/>
              </w:rPr>
              <w:t>3.2  Análises Estatísticas</w:t>
              <w:tab/>
              <w:t>3</w:t>
            </w:r>
          </w:hyperlink>
        </w:p>
        <w:p>
          <w:pPr>
            <w:pStyle w:val="Sumrio1"/>
            <w:tabs>
              <w:tab w:val="clear" w:pos="9360"/>
              <w:tab w:val="right" w:pos="9638" w:leader="dot"/>
            </w:tabs>
            <w:rPr/>
          </w:pPr>
          <w:hyperlink w:anchor="__RefHeading___Toc2481_4135361525">
            <w:r>
              <w:rPr>
                <w:webHidden/>
                <w:rStyle w:val="Vnculodendice"/>
                <w:lang w:val="pt-BR" w:eastAsia="en-US" w:bidi="ar-SA"/>
              </w:rPr>
              <w:t xml:space="preserve"> </w:t>
            </w:r>
            <w:r>
              <w:rPr>
                <w:rStyle w:val="Vnculodendice"/>
                <w:lang w:val="pt-BR" w:eastAsia="en-US" w:bidi="ar-SA"/>
              </w:rPr>
              <w:t>4  Resultados</w:t>
              <w:tab/>
              <w:t>4</w:t>
            </w:r>
          </w:hyperlink>
        </w:p>
        <w:p>
          <w:pPr>
            <w:pStyle w:val="Sumrio2"/>
            <w:tabs>
              <w:tab w:val="clear" w:pos="9077"/>
              <w:tab w:val="right" w:pos="9638" w:leader="dot"/>
            </w:tabs>
            <w:rPr/>
          </w:pPr>
          <w:hyperlink w:anchor="__RefHeading___Toc2483_4135361525">
            <w:r>
              <w:rPr>
                <w:webHidden/>
                <w:rStyle w:val="Vnculodendice"/>
                <w:lang w:val="pt-BR" w:eastAsia="en-US" w:bidi="ar-SA"/>
              </w:rPr>
              <w:t xml:space="preserve"> </w:t>
            </w:r>
            <w:r>
              <w:rPr>
                <w:rStyle w:val="Vnculodendice"/>
                <w:lang w:val="pt-BR" w:eastAsia="en-US" w:bidi="ar-SA"/>
              </w:rPr>
              <w:t>4.1  Espaço de hiperparâmetros</w:t>
              <w:tab/>
              <w:t>4</w:t>
            </w:r>
          </w:hyperlink>
        </w:p>
        <w:p>
          <w:pPr>
            <w:pStyle w:val="Sumrio2"/>
            <w:tabs>
              <w:tab w:val="clear" w:pos="9077"/>
              <w:tab w:val="right" w:pos="9638" w:leader="dot"/>
            </w:tabs>
            <w:rPr/>
          </w:pPr>
          <w:hyperlink w:anchor="__RefHeading___Toc2485_4135361525">
            <w:r>
              <w:rPr>
                <w:webHidden/>
                <w:rStyle w:val="Vnculodendice"/>
                <w:lang w:val="pt-BR" w:eastAsia="en-US" w:bidi="ar-SA"/>
              </w:rPr>
              <w:t xml:space="preserve"> </w:t>
            </w:r>
            <w:r>
              <w:rPr>
                <w:rStyle w:val="Vnculodendice"/>
                <w:lang w:val="pt-BR" w:eastAsia="en-US" w:bidi="ar-SA"/>
              </w:rPr>
              <w:t>4.2  Silhuetas das soluções ótimas</w:t>
              <w:tab/>
              <w:t>8</w:t>
            </w:r>
          </w:hyperlink>
        </w:p>
        <w:p>
          <w:pPr>
            <w:pStyle w:val="Sumrio1"/>
            <w:tabs>
              <w:tab w:val="clear" w:pos="9360"/>
              <w:tab w:val="right" w:pos="9638" w:leader="dot"/>
            </w:tabs>
            <w:rPr/>
          </w:pPr>
          <w:hyperlink w:anchor="__RefHeading___Toc2487_4135361525">
            <w:r>
              <w:rPr>
                <w:webHidden/>
                <w:rStyle w:val="Vnculodendice"/>
                <w:lang w:val="pt-BR" w:eastAsia="en-US" w:bidi="ar-SA"/>
              </w:rPr>
              <w:t xml:space="preserve"> </w:t>
            </w:r>
            <w:r>
              <w:rPr>
                <w:rStyle w:val="Vnculodendice"/>
                <w:lang w:val="pt-BR" w:eastAsia="en-US" w:bidi="ar-SA"/>
              </w:rPr>
              <w:t>5  Observações e limitações</w:t>
              <w:tab/>
              <w:t>10</w:t>
            </w:r>
          </w:hyperlink>
        </w:p>
        <w:p>
          <w:pPr>
            <w:pStyle w:val="Sumrio1"/>
            <w:tabs>
              <w:tab w:val="clear" w:pos="9360"/>
              <w:tab w:val="right" w:pos="9638" w:leader="dot"/>
            </w:tabs>
            <w:rPr/>
          </w:pPr>
          <w:hyperlink w:anchor="__RefHeading___Toc2489_4135361525">
            <w:r>
              <w:rPr>
                <w:webHidden/>
                <w:rStyle w:val="Vnculodendice"/>
                <w:lang w:val="pt-BR" w:eastAsia="en-US" w:bidi="ar-SA"/>
              </w:rPr>
              <w:t xml:space="preserve"> </w:t>
            </w:r>
            <w:r>
              <w:rPr>
                <w:rStyle w:val="Vnculodendice"/>
                <w:lang w:val="pt-BR" w:eastAsia="en-US" w:bidi="ar-SA"/>
              </w:rPr>
              <w:t>6  Conclusões</w:t>
              <w:tab/>
              <w:t>11</w:t>
            </w:r>
          </w:hyperlink>
        </w:p>
        <w:p>
          <w:pPr>
            <w:pStyle w:val="Sumrio1"/>
            <w:tabs>
              <w:tab w:val="clear" w:pos="9360"/>
              <w:tab w:val="right" w:pos="9638" w:leader="dot"/>
            </w:tabs>
            <w:rPr/>
          </w:pPr>
          <w:hyperlink w:anchor="__RefHeading___Toc2491_4135361525">
            <w:r>
              <w:rPr>
                <w:webHidden/>
                <w:rStyle w:val="Vnculodendice"/>
                <w:lang w:val="pt-BR" w:eastAsia="en-US" w:bidi="ar-SA"/>
              </w:rPr>
              <w:t xml:space="preserve"> </w:t>
            </w:r>
            <w:r>
              <w:rPr>
                <w:rStyle w:val="Vnculodendice"/>
                <w:lang w:val="pt-BR" w:eastAsia="en-US" w:bidi="ar-SA"/>
              </w:rPr>
              <w:t>7  Referências</w:t>
              <w:tab/>
              <w:t>11</w:t>
            </w:r>
          </w:hyperlink>
        </w:p>
        <w:p>
          <w:pPr>
            <w:pStyle w:val="Sumrio1"/>
            <w:tabs>
              <w:tab w:val="clear" w:pos="9360"/>
              <w:tab w:val="right" w:pos="9638" w:leader="dot"/>
            </w:tabs>
            <w:rPr/>
          </w:pPr>
          <w:hyperlink w:anchor="__RefHeading___Toc2493_4135361525">
            <w:r>
              <w:rPr>
                <w:webHidden/>
                <w:rStyle w:val="Vnculodendice"/>
                <w:lang w:val="pt-BR" w:eastAsia="en-US" w:bidi="ar-SA"/>
              </w:rPr>
              <w:t xml:space="preserve"> </w:t>
            </w:r>
            <w:r>
              <w:rPr>
                <w:rStyle w:val="Vnculodendice"/>
                <w:lang w:val="pt-BR" w:eastAsia="en-US" w:bidi="ar-SA"/>
              </w:rPr>
              <w:t>8  Apêndice</w:t>
              <w:tab/>
              <w:t>11</w:t>
            </w:r>
          </w:hyperlink>
        </w:p>
        <w:p>
          <w:pPr>
            <w:pStyle w:val="Sumrio2"/>
            <w:tabs>
              <w:tab w:val="clear" w:pos="9077"/>
              <w:tab w:val="right" w:pos="9638" w:leader="dot"/>
            </w:tabs>
            <w:rPr/>
          </w:pPr>
          <w:hyperlink w:anchor="__RefHeading___Toc2497_4135361525">
            <w:r>
              <w:rPr>
                <w:webHidden/>
                <w:rStyle w:val="Vnculodendice"/>
                <w:lang w:val="pt-BR" w:eastAsia="en-US" w:bidi="ar-SA"/>
              </w:rPr>
              <w:t xml:space="preserve"> </w:t>
            </w:r>
            <w:r>
              <w:rPr>
                <w:rStyle w:val="Vnculodendice"/>
                <w:lang w:val="pt-BR" w:eastAsia="en-US" w:bidi="ar-SA"/>
              </w:rPr>
              <w:t>8.1  Disponibilidade</w:t>
              <w:tab/>
              <w:t>11</w:t>
            </w:r>
          </w:hyperlink>
        </w:p>
        <w:p>
          <w:pPr>
            <w:pStyle w:val="Sumrio2"/>
            <w:tabs>
              <w:tab w:val="clear" w:pos="9077"/>
              <w:tab w:val="right" w:pos="9638" w:leader="dot"/>
            </w:tabs>
            <w:rPr/>
          </w:pPr>
          <w:hyperlink w:anchor="__RefHeading___Toc2499_4135361525">
            <w:r>
              <w:rPr>
                <w:webHidden/>
                <w:rStyle w:val="Vnculodendice"/>
                <w:lang w:val="pt-BR" w:eastAsia="en-US" w:bidi="ar-SA"/>
              </w:rPr>
              <w:t xml:space="preserve"> </w:t>
            </w:r>
            <w:r>
              <w:rPr>
                <w:rStyle w:val="Vnculodendice"/>
                <w:lang w:val="pt-BR" w:eastAsia="en-US" w:bidi="ar-SA"/>
              </w:rPr>
              <w:t>8.2  Dados utilizados</w:t>
              <w:tab/>
              <w:t>11</w:t>
            </w:r>
          </w:hyperlink>
          <w:r>
            <w:rPr>
              <w:rStyle w:val="Vnculodendice"/>
              <w:lang w:val="pt-BR" w:eastAsia="en-US" w:bidi="ar-SA"/>
            </w:rPr>
            <w:fldChar w:fldCharType="end"/>
          </w:r>
        </w:p>
      </w:sdtContent>
    </w:sdt>
    <w:p>
      <w:pPr>
        <w:pStyle w:val="Normal"/>
        <w:rPr>
          <w:lang w:val="pt-BR" w:eastAsia="en-US" w:bidi="ar-SA"/>
        </w:rPr>
      </w:pPr>
      <w:r>
        <w:rPr>
          <w:lang w:val="pt-BR" w:eastAsia="en-US" w:bidi="ar-SA"/>
        </w:rPr>
        <mc:AlternateContent>
          <mc:Choice Requires="wps">
            <w:drawing>
              <wp:inline distT="0" distB="0" distL="0" distR="0">
                <wp:extent cx="6122670" cy="21590"/>
                <wp:effectExtent l="0" t="0" r="0" b="0"/>
                <wp:docPr id="1" name="Forma1"/>
                <a:graphic xmlns:a="http://schemas.openxmlformats.org/drawingml/2006/main">
                  <a:graphicData uri="http://schemas.microsoft.com/office/word/2010/wordprocessingShape">
                    <wps:wsp>
                      <wps:cNvSpPr/>
                      <wps:spPr>
                        <a:xfrm>
                          <a:off x="0" y="0"/>
                          <a:ext cx="6122160" cy="208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1" path="m0,0l-2147483645,0l-2147483645,-2147483646l0,-2147483646xe" fillcolor="white" stroked="t" o:allowincell="f" style="position:absolute;margin-left:0pt;margin-top:-1.7pt;width:482pt;height:1.6pt;mso-wrap-style:none;v-text-anchor:middle;mso-position-vertical:top">
                <v:fill o:detectmouseclick="t" type="solid" color2="black"/>
                <v:stroke color="black" joinstyle="round" endcap="flat"/>
                <w10:wrap type="square"/>
              </v:rect>
            </w:pict>
          </mc:Fallback>
        </mc:AlternateContent>
      </w:r>
    </w:p>
    <w:p>
      <w:pPr>
        <w:pStyle w:val="FirstParagraph"/>
        <w:rPr>
          <w:b/>
          <w:b/>
          <w:bCs/>
          <w:lang w:val="pt-BR" w:eastAsia="en-US" w:bidi="ar-SA"/>
        </w:rPr>
      </w:pPr>
      <w:r>
        <w:rPr>
          <w:b/>
          <w:bCs/>
          <w:lang w:val="pt-BR" w:eastAsia="en-US" w:bidi="ar-SA"/>
        </w:rPr>
      </w:r>
      <w:r>
        <w:br w:type="page"/>
      </w:r>
    </w:p>
    <w:p>
      <w:pPr>
        <w:pStyle w:val="Ttulododocumento"/>
        <w:rPr>
          <w:lang w:val="pt-BR" w:eastAsia="en-US" w:bidi="ar-SA"/>
        </w:rPr>
      </w:pPr>
      <w:r>
        <w:rPr>
          <w:lang w:val="pt-BR" w:eastAsia="en-US" w:bidi="ar-SA"/>
        </w:rPr>
        <w:t>Otimização de hiperparâmetros de clusterização hierárquica para identificação de deputados evangélicos de corporações pentecostais eleitos em 2018</w:t>
      </w:r>
    </w:p>
    <w:p>
      <w:pPr>
        <w:pStyle w:val="Corpodotexto"/>
        <w:rPr>
          <w:lang w:val="pt-BR" w:eastAsia="en-US" w:bidi="ar-SA"/>
        </w:rPr>
      </w:pPr>
      <w:r>
        <w:rPr>
          <w:b/>
          <w:bCs/>
          <w:lang w:val="pt-BR" w:eastAsia="en-US" w:bidi="ar-SA"/>
        </w:rPr>
        <w:t>Histórico do documento</w:t>
      </w:r>
    </w:p>
    <w:tbl>
      <w:tblPr>
        <w:tblStyle w:val="Table"/>
        <w:tblW w:w="9638"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3625"/>
        <w:gridCol w:w="6012"/>
      </w:tblGrid>
      <w:tr>
        <w:trPr/>
        <w:tc>
          <w:tcPr>
            <w:tcW w:w="362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Versão</w:t>
            </w:r>
          </w:p>
        </w:tc>
        <w:tc>
          <w:tcPr>
            <w:tcW w:w="6012"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Alterações</w:t>
            </w:r>
          </w:p>
        </w:tc>
      </w:tr>
      <w:tr>
        <w:trPr/>
        <w:tc>
          <w:tcPr>
            <w:tcW w:w="3625"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01</w:t>
            </w:r>
          </w:p>
        </w:tc>
        <w:tc>
          <w:tcPr>
            <w:tcW w:w="6012"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Versão inicial</w:t>
            </w:r>
          </w:p>
        </w:tc>
      </w:tr>
    </w:tbl>
    <w:p>
      <w:pPr>
        <w:pStyle w:val="Normal"/>
        <w:rPr>
          <w:lang w:val="pt-BR" w:eastAsia="en-US" w:bidi="ar-SA"/>
        </w:rPr>
      </w:pPr>
      <w:r>
        <w:rPr>
          <w:lang w:val="pt-BR" w:eastAsia="en-US" w:bidi="ar-SA"/>
        </w:rPr>
        <mc:AlternateContent>
          <mc:Choice Requires="wps">
            <w:drawing>
              <wp:inline distT="0" distB="0" distL="0" distR="0">
                <wp:extent cx="3175" cy="21590"/>
                <wp:effectExtent l="0" t="0" r="0" b="0"/>
                <wp:docPr id="2" name="Forma2"/>
                <a:graphic xmlns:a="http://schemas.openxmlformats.org/drawingml/2006/main">
                  <a:graphicData uri="http://schemas.microsoft.com/office/word/2010/wordprocessingShape">
                    <wps:wsp>
                      <wps:cNvSpPr/>
                      <wps:spPr>
                        <a:xfrm>
                          <a:off x="0" y="0"/>
                          <a:ext cx="2520" cy="208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2" path="m0,0l-2147483645,0l-2147483645,-2147483646l0,-2147483646xe" fillcolor="white" stroked="t" o:allowincell="f" style="position:absolute;margin-left:0pt;margin-top:-1.7pt;width:0.15pt;height:1.6pt;mso-wrap-style:none;v-text-anchor:middle;mso-position-vertical:top">
                <v:fill o:detectmouseclick="t" type="solid" color2="black"/>
                <v:stroke color="black" joinstyle="round" endcap="flat"/>
                <w10:wrap type="square"/>
              </v:rect>
            </w:pict>
          </mc:Fallback>
        </mc:AlternateContent>
      </w:r>
    </w:p>
    <w:p>
      <w:pPr>
        <w:pStyle w:val="Ttulo1"/>
        <w:rPr>
          <w:lang w:val="pt-BR" w:eastAsia="en-US" w:bidi="ar-SA"/>
        </w:rPr>
      </w:pPr>
      <w:bookmarkStart w:id="0" w:name="__RefHeading___Toc2463_4135361525"/>
      <w:bookmarkEnd w:id="0"/>
      <w:r>
        <w:rPr>
          <w:lang w:val="pt-BR" w:eastAsia="en-US" w:bidi="ar-SA"/>
        </w:rPr>
        <w:t>Lista de abreviaturas</w:t>
      </w:r>
    </w:p>
    <w:p>
      <w:pPr>
        <w:pStyle w:val="Compact"/>
        <w:numPr>
          <w:ilvl w:val="0"/>
          <w:numId w:val="2"/>
        </w:numPr>
        <w:rPr>
          <w:lang w:val="pt-BR" w:eastAsia="en-US" w:bidi="ar-SA"/>
        </w:rPr>
      </w:pPr>
      <w:r>
        <w:rPr>
          <w:lang w:val="pt-BR" w:eastAsia="en-US" w:bidi="ar-SA"/>
        </w:rPr>
        <w:t>AGP: receita que veio do partido ao invés de apoiadores privados (empresariais ou não)</w:t>
      </w:r>
      <w:bookmarkStart w:id="1" w:name="lista-de-abreviaturas"/>
      <w:bookmarkEnd w:id="1"/>
    </w:p>
    <w:p>
      <w:pPr>
        <w:pStyle w:val="Ttulo1"/>
        <w:rPr>
          <w:lang w:val="pt-BR" w:eastAsia="en-US" w:bidi="ar-SA"/>
        </w:rPr>
      </w:pPr>
      <w:bookmarkStart w:id="2" w:name="__RefHeading___Toc2465_4135361525"/>
      <w:bookmarkEnd w:id="2"/>
      <w:r>
        <w:rPr>
          <w:lang w:val="pt-BR" w:eastAsia="en-US" w:bidi="ar-SA"/>
        </w:rPr>
        <w:t>Contexto</w:t>
      </w:r>
    </w:p>
    <w:p>
      <w:pPr>
        <w:pStyle w:val="FirstParagraph"/>
        <w:rPr>
          <w:lang w:val="pt-BR" w:eastAsia="en-US" w:bidi="ar-SA"/>
        </w:rPr>
      </w:pPr>
      <w:r>
        <w:rPr>
          <w:lang w:val="pt-BR" w:eastAsia="en-US" w:bidi="ar-SA"/>
        </w:rPr>
        <w:t>Dados de deputados federais evangélicos, eleitos em 2018, com labels identificando quais pertencem a corporações pentecostais. As corporações pentecostais foram definidas como as entidades evangélicas com interesse predominantemente financeiro e/ou político, diferenciando-se das instituições religiosas tradicionais.</w:t>
      </w:r>
    </w:p>
    <w:p>
      <w:pPr>
        <w:pStyle w:val="Corpodotexto"/>
        <w:rPr>
          <w:lang w:val="pt-BR" w:eastAsia="en-US" w:bidi="ar-SA"/>
        </w:rPr>
      </w:pPr>
      <w:r>
        <w:rPr>
          <w:lang w:val="pt-BR" w:eastAsia="en-US" w:bidi="ar-SA"/>
        </w:rPr>
        <w:t>As corporações pentecostais foram previamente identificadas na base de dados recebida.</w:t>
      </w:r>
    </w:p>
    <w:p>
      <w:pPr>
        <w:pStyle w:val="Ttulo2"/>
        <w:rPr>
          <w:lang w:val="pt-BR" w:eastAsia="en-US" w:bidi="ar-SA"/>
        </w:rPr>
      </w:pPr>
      <w:bookmarkStart w:id="3" w:name="__RefHeading___Toc2467_4135361525"/>
      <w:bookmarkEnd w:id="3"/>
      <w:r>
        <w:rPr>
          <w:lang w:val="pt-BR" w:eastAsia="en-US" w:bidi="ar-SA"/>
        </w:rPr>
        <w:t>Objetivos</w:t>
      </w:r>
    </w:p>
    <w:p>
      <w:pPr>
        <w:pStyle w:val="FirstParagraph"/>
        <w:rPr>
          <w:lang w:val="pt-BR" w:eastAsia="en-US" w:bidi="ar-SA"/>
        </w:rPr>
      </w:pPr>
      <w:r>
        <w:rPr>
          <w:lang w:val="pt-BR" w:eastAsia="en-US" w:bidi="ar-SA"/>
        </w:rPr>
        <w:t>Identificar a seleção de hiperparâmetros que maximiza a silhueta média (global) do agrupamento hierárquico de deputados federais evangélicos.</w:t>
      </w:r>
      <w:bookmarkStart w:id="4" w:name="objetivos"/>
      <w:bookmarkEnd w:id="4"/>
    </w:p>
    <w:p>
      <w:pPr>
        <w:pStyle w:val="Ttulo2"/>
        <w:rPr>
          <w:lang w:val="pt-BR" w:eastAsia="en-US" w:bidi="ar-SA"/>
        </w:rPr>
      </w:pPr>
      <w:bookmarkStart w:id="5" w:name="__RefHeading___Toc2469_4135361525"/>
      <w:bookmarkEnd w:id="5"/>
      <w:r>
        <w:rPr>
          <w:lang w:val="pt-BR" w:eastAsia="en-US" w:bidi="ar-SA"/>
        </w:rPr>
        <w:t>Recepção e tratamento dos dados</w:t>
      </w:r>
    </w:p>
    <w:p>
      <w:pPr>
        <w:pStyle w:val="FirstParagraph"/>
        <w:rPr>
          <w:lang w:val="pt-BR" w:eastAsia="en-US" w:bidi="ar-SA"/>
        </w:rPr>
      </w:pPr>
      <w:r>
        <w:rPr>
          <w:lang w:val="pt-BR" w:eastAsia="en-US" w:bidi="ar-SA"/>
        </w:rPr>
        <w:t>Base de dados recebida contendo características dos deputados federais eleitos em 2018.</w:t>
      </w:r>
    </w:p>
    <w:p>
      <w:pPr>
        <w:pStyle w:val="Corpodotexto"/>
        <w:rPr>
          <w:lang w:val="pt-BR" w:eastAsia="en-US" w:bidi="ar-SA"/>
        </w:rPr>
      </w:pPr>
      <w:r>
        <w:rPr>
          <w:lang w:val="pt-BR" w:eastAsia="en-US" w:bidi="ar-SA"/>
        </w:rPr>
        <w:t>As receitas recebidas pelos deputados evangélicos foram divididas entre duas fontes: AGP e outras. As outras receitas foram a soma total das receitas recebidas subtraída da receita AGP.</w:t>
      </w:r>
    </w:p>
    <w:p>
      <w:pPr>
        <w:pStyle w:val="Corpodotexto"/>
        <w:rPr>
          <w:lang w:val="pt-BR" w:eastAsia="en-US" w:bidi="ar-SA"/>
        </w:rPr>
      </w:pPr>
      <w:r>
        <w:rPr>
          <w:lang w:val="pt-BR" w:eastAsia="en-US" w:bidi="ar-SA"/>
        </w:rPr>
        <w:t>Todas as variáveis numéricas foram escalonadas para a clusterização de modo a manter os valores observados em um intervalo de amplitude de aproximada 2 unidades (</w:t>
      </w:r>
      <w:r>
        <w:rPr>
          <w:b/>
          <w:bCs/>
          <w:lang w:val="pt-BR" w:eastAsia="en-US" w:bidi="ar-SA"/>
        </w:rPr>
        <w:t>SAR-2021-011-JG-v01</w:t>
      </w:r>
      <w:r>
        <w:rPr>
          <w:lang w:val="pt-BR" w:eastAsia="en-US" w:bidi="ar-SA"/>
        </w:rPr>
        <w:t>). Todas as receitas foram escalonadas por milhão de reais. O número de votos será escalonado por milhão de votos. O posicionamento político varia de -1 a 1 e portanto já está limitado a um intervalo de amplitude 2. A capilaridade e os decis foram mantidos na escala original.</w:t>
      </w:r>
      <w:bookmarkStart w:id="6" w:name="recepção-e-tratamento-dos-dados"/>
      <w:bookmarkStart w:id="7" w:name="contexto"/>
      <w:bookmarkEnd w:id="6"/>
      <w:bookmarkEnd w:id="7"/>
    </w:p>
    <w:p>
      <w:pPr>
        <w:pStyle w:val="Ttulo1"/>
        <w:rPr>
          <w:lang w:val="pt-BR" w:eastAsia="en-US" w:bidi="ar-SA"/>
        </w:rPr>
      </w:pPr>
      <w:bookmarkStart w:id="8" w:name="__RefHeading___Toc2471_4135361525"/>
      <w:bookmarkEnd w:id="8"/>
      <w:r>
        <w:rPr>
          <w:lang w:val="pt-BR" w:eastAsia="en-US" w:bidi="ar-SA"/>
        </w:rPr>
        <w:t>Metodologia</w:t>
      </w:r>
    </w:p>
    <w:p>
      <w:pPr>
        <w:pStyle w:val="Ttulo2"/>
        <w:rPr>
          <w:lang w:val="pt-BR" w:eastAsia="en-US" w:bidi="ar-SA"/>
        </w:rPr>
      </w:pPr>
      <w:bookmarkStart w:id="9" w:name="__RefHeading___Toc2473_4135361525"/>
      <w:bookmarkEnd w:id="9"/>
      <w:r>
        <w:rPr>
          <w:lang w:val="pt-BR" w:eastAsia="en-US" w:bidi="ar-SA"/>
        </w:rPr>
        <w:t>Variáveis</w:t>
      </w:r>
    </w:p>
    <w:p>
      <w:pPr>
        <w:pStyle w:val="Ttulo3"/>
        <w:rPr>
          <w:lang w:val="pt-BR" w:eastAsia="en-US" w:bidi="ar-SA"/>
        </w:rPr>
      </w:pPr>
      <w:bookmarkStart w:id="10" w:name="__RefHeading___Toc2475_4135361525"/>
      <w:bookmarkEnd w:id="10"/>
      <w:r>
        <w:rPr>
          <w:lang w:val="pt-BR" w:eastAsia="en-US" w:bidi="ar-SA"/>
        </w:rPr>
        <w:t>Desfechos primário e secundário</w:t>
      </w:r>
    </w:p>
    <w:p>
      <w:pPr>
        <w:pStyle w:val="FirstParagraph"/>
        <w:rPr>
          <w:lang w:val="pt-BR" w:eastAsia="en-US" w:bidi="ar-SA"/>
        </w:rPr>
      </w:pPr>
      <w:r>
        <w:rPr>
          <w:lang w:val="pt-BR" w:eastAsia="en-US" w:bidi="ar-SA"/>
        </w:rPr>
        <w:t>O desfecho primário está definido como a combinação de hiperparâmetros k, métrica de distância e método de ligação que maximiza a silhueta média do agrupamento hierárquico.</w:t>
      </w:r>
      <w:bookmarkStart w:id="11" w:name="desfechos-primário-e-secundário"/>
      <w:bookmarkEnd w:id="11"/>
    </w:p>
    <w:p>
      <w:pPr>
        <w:pStyle w:val="Ttulo3"/>
        <w:rPr>
          <w:lang w:val="pt-BR" w:eastAsia="en-US" w:bidi="ar-SA"/>
        </w:rPr>
      </w:pPr>
      <w:bookmarkStart w:id="12" w:name="__RefHeading___Toc2477_4135361525"/>
      <w:bookmarkEnd w:id="12"/>
      <w:r>
        <w:rPr>
          <w:lang w:val="pt-BR" w:eastAsia="en-US" w:bidi="ar-SA"/>
        </w:rPr>
        <w:t>Covariáveis</w:t>
      </w:r>
    </w:p>
    <w:p>
      <w:pPr>
        <w:pStyle w:val="FirstParagraph"/>
        <w:rPr>
          <w:lang w:val="pt-BR" w:eastAsia="en-US" w:bidi="ar-SA"/>
        </w:rPr>
      </w:pPr>
      <w:r>
        <w:rPr>
          <w:lang w:val="pt-BR" w:eastAsia="en-US" w:bidi="ar-SA"/>
        </w:rPr>
        <w:t>As seguintes características dos deputados federais foram incluídas na análise: Receitas (divididas em AGP e outras fontes), número de votos recebidos, posicionamento político e capilaridade. As seguintes características dos partidos foram consideradas para inclusão na análise: decil do número de deputados eleitos e decil do número de filiados.</w:t>
      </w:r>
      <w:bookmarkStart w:id="13" w:name="covariáveis"/>
      <w:bookmarkStart w:id="14" w:name="variáveis"/>
      <w:bookmarkEnd w:id="13"/>
      <w:bookmarkEnd w:id="14"/>
    </w:p>
    <w:p>
      <w:pPr>
        <w:pStyle w:val="Ttulo2"/>
        <w:rPr>
          <w:lang w:val="pt-BR" w:eastAsia="en-US" w:bidi="ar-SA"/>
        </w:rPr>
      </w:pPr>
      <w:bookmarkStart w:id="15" w:name="__RefHeading___Toc2479_4135361525"/>
      <w:bookmarkEnd w:id="15"/>
      <w:r>
        <w:rPr>
          <w:lang w:val="pt-BR" w:eastAsia="en-US" w:bidi="ar-SA"/>
        </w:rPr>
        <w:t>Análises Estatísticas</w:t>
      </w:r>
    </w:p>
    <w:p>
      <w:pPr>
        <w:pStyle w:val="FirstParagraph"/>
        <w:rPr>
          <w:lang w:val="pt-BR" w:eastAsia="en-US" w:bidi="ar-SA"/>
        </w:rPr>
      </w:pPr>
      <w:r>
        <w:rPr>
          <w:lang w:val="pt-BR" w:eastAsia="en-US" w:bidi="ar-SA"/>
        </w:rPr>
        <w:t>Modelos de clusters hierárquico foram ajustados aos dados numéricos. Foi criado um algoritmo para percorrer o espaço de hiperparâmetros e calcular a silhueta de cada combinação.</w:t>
      </w:r>
    </w:p>
    <w:p>
      <w:pPr>
        <w:pStyle w:val="Corpodotexto"/>
        <w:rPr>
          <w:lang w:val="pt-BR" w:eastAsia="en-US" w:bidi="ar-SA"/>
        </w:rPr>
      </w:pPr>
      <w:r>
        <w:rPr>
          <w:lang w:val="pt-BR" w:eastAsia="en-US" w:bidi="ar-SA"/>
        </w:rPr>
        <w:t>Os índices de silhueta média foram visualizados em um gráfico de dispersão (silhueta por k). Cada ponto foi identificado pela métrica de distância e método de ligação (mapeados em cores e formas) para identificação visual da qualidade dos agrupamentos avaliados. A combinação ótima foi destacada textualmente, e outras combinações com valores de silhueta mais altos podem ser identificados.</w:t>
      </w:r>
    </w:p>
    <w:p>
      <w:pPr>
        <w:pStyle w:val="Corpodotexto"/>
        <w:rPr>
          <w:lang w:val="pt-BR" w:eastAsia="en-US" w:bidi="ar-SA"/>
        </w:rPr>
      </w:pPr>
      <w:r>
        <w:rPr>
          <w:lang w:val="pt-BR" w:eastAsia="en-US" w:bidi="ar-SA"/>
        </w:rPr>
        <w:t>Hiperparâmetros a ser avaliados:</w:t>
      </w:r>
    </w:p>
    <w:p>
      <w:pPr>
        <w:pStyle w:val="Compact"/>
        <w:numPr>
          <w:ilvl w:val="0"/>
          <w:numId w:val="33"/>
        </w:numPr>
        <w:rPr>
          <w:lang w:val="pt-BR" w:eastAsia="en-US" w:bidi="ar-SA"/>
        </w:rPr>
      </w:pPr>
      <w:r>
        <w:rPr>
          <w:lang w:val="pt-BR" w:eastAsia="en-US" w:bidi="ar-SA"/>
        </w:rPr>
        <w:t>Número de clusters k: variando de 2 a 10</w:t>
      </w:r>
    </w:p>
    <w:p>
      <w:pPr>
        <w:pStyle w:val="Compact"/>
        <w:numPr>
          <w:ilvl w:val="0"/>
          <w:numId w:val="34"/>
        </w:numPr>
        <w:rPr>
          <w:lang w:val="pt-BR" w:eastAsia="en-US" w:bidi="ar-SA"/>
        </w:rPr>
      </w:pPr>
      <w:r>
        <w:rPr>
          <w:lang w:val="pt-BR" w:eastAsia="en-US" w:bidi="ar-SA"/>
        </w:rPr>
        <w:t>Métricas de distância</w:t>
      </w:r>
    </w:p>
    <w:p>
      <w:pPr>
        <w:pStyle w:val="Compact"/>
        <w:numPr>
          <w:ilvl w:val="1"/>
          <w:numId w:val="35"/>
        </w:numPr>
        <w:rPr>
          <w:lang w:val="pt-BR" w:eastAsia="en-US" w:bidi="ar-SA"/>
        </w:rPr>
      </w:pPr>
      <w:r>
        <w:rPr>
          <w:lang w:val="pt-BR" w:eastAsia="en-US" w:bidi="ar-SA"/>
        </w:rPr>
        <w:t>Norma 2 (Euclidiana)</w:t>
      </w:r>
    </w:p>
    <w:p>
      <w:pPr>
        <w:pStyle w:val="Compact"/>
        <w:numPr>
          <w:ilvl w:val="1"/>
          <w:numId w:val="36"/>
        </w:numPr>
        <w:rPr>
          <w:lang w:val="pt-BR" w:eastAsia="en-US" w:bidi="ar-SA"/>
        </w:rPr>
      </w:pPr>
      <w:r>
        <w:rPr>
          <w:lang w:val="pt-BR" w:eastAsia="en-US" w:bidi="ar-SA"/>
        </w:rPr>
        <w:t>Norma 1 (Manhattan)</w:t>
      </w:r>
    </w:p>
    <w:p>
      <w:pPr>
        <w:pStyle w:val="Compact"/>
        <w:numPr>
          <w:ilvl w:val="1"/>
          <w:numId w:val="37"/>
        </w:numPr>
        <w:rPr>
          <w:lang w:val="pt-BR" w:eastAsia="en-US" w:bidi="ar-SA"/>
        </w:rPr>
      </w:pPr>
      <w:r>
        <w:rPr>
          <w:lang w:val="pt-BR" w:eastAsia="en-US" w:bidi="ar-SA"/>
        </w:rPr>
        <w:t>Norma infinito (máxima)</w:t>
      </w:r>
    </w:p>
    <w:p>
      <w:pPr>
        <w:pStyle w:val="Compact"/>
        <w:numPr>
          <w:ilvl w:val="1"/>
          <w:numId w:val="38"/>
        </w:numPr>
        <w:rPr>
          <w:lang w:val="pt-BR" w:eastAsia="en-US" w:bidi="ar-SA"/>
        </w:rPr>
      </w:pPr>
      <w:r>
        <w:rPr>
          <w:lang w:val="pt-BR" w:eastAsia="en-US" w:bidi="ar-SA"/>
        </w:rPr>
        <w:t>Norma p (Minkowski) com p = 0.5 e 1.5</w:t>
      </w:r>
    </w:p>
    <w:p>
      <w:pPr>
        <w:pStyle w:val="Compact"/>
        <w:numPr>
          <w:ilvl w:val="1"/>
          <w:numId w:val="39"/>
        </w:numPr>
        <w:rPr>
          <w:lang w:val="pt-BR" w:eastAsia="en-US" w:bidi="ar-SA"/>
        </w:rPr>
      </w:pPr>
      <w:r>
        <w:rPr>
          <w:lang w:val="pt-BR" w:eastAsia="en-US" w:bidi="ar-SA"/>
        </w:rPr>
        <w:t>Canberra</w:t>
      </w:r>
    </w:p>
    <w:p>
      <w:pPr>
        <w:pStyle w:val="Compact"/>
        <w:numPr>
          <w:ilvl w:val="0"/>
          <w:numId w:val="40"/>
        </w:numPr>
        <w:rPr>
          <w:lang w:val="pt-BR" w:eastAsia="en-US" w:bidi="ar-SA"/>
        </w:rPr>
      </w:pPr>
      <w:r>
        <w:rPr>
          <w:lang w:val="pt-BR" w:eastAsia="en-US" w:bidi="ar-SA"/>
        </w:rPr>
        <w:t>Métodos de ligação</w:t>
      </w:r>
    </w:p>
    <w:p>
      <w:pPr>
        <w:pStyle w:val="Compact"/>
        <w:numPr>
          <w:ilvl w:val="1"/>
          <w:numId w:val="41"/>
        </w:numPr>
        <w:rPr>
          <w:lang w:val="pt-BR" w:eastAsia="en-US" w:bidi="ar-SA"/>
        </w:rPr>
      </w:pPr>
      <w:r>
        <w:rPr>
          <w:lang w:val="pt-BR" w:eastAsia="en-US" w:bidi="ar-SA"/>
        </w:rPr>
        <w:t>Completa (máximo)</w:t>
      </w:r>
    </w:p>
    <w:p>
      <w:pPr>
        <w:pStyle w:val="Compact"/>
        <w:numPr>
          <w:ilvl w:val="1"/>
          <w:numId w:val="42"/>
        </w:numPr>
        <w:rPr>
          <w:lang w:val="pt-BR" w:eastAsia="en-US" w:bidi="ar-SA"/>
        </w:rPr>
      </w:pPr>
      <w:r>
        <w:rPr>
          <w:lang w:val="pt-BR" w:eastAsia="en-US" w:bidi="ar-SA"/>
        </w:rPr>
        <w:t>Single (mínimo)</w:t>
      </w:r>
    </w:p>
    <w:p>
      <w:pPr>
        <w:pStyle w:val="Compact"/>
        <w:numPr>
          <w:ilvl w:val="1"/>
          <w:numId w:val="43"/>
        </w:numPr>
        <w:rPr>
          <w:lang w:val="pt-BR" w:eastAsia="en-US" w:bidi="ar-SA"/>
        </w:rPr>
      </w:pPr>
      <w:r>
        <w:rPr>
          <w:lang w:val="pt-BR" w:eastAsia="en-US" w:bidi="ar-SA"/>
        </w:rPr>
        <w:t>Média (UPGMA)</w:t>
      </w:r>
    </w:p>
    <w:p>
      <w:pPr>
        <w:pStyle w:val="Compact"/>
        <w:numPr>
          <w:ilvl w:val="1"/>
          <w:numId w:val="44"/>
        </w:numPr>
        <w:rPr>
          <w:lang w:val="pt-BR" w:eastAsia="en-US" w:bidi="ar-SA"/>
        </w:rPr>
      </w:pPr>
      <w:r>
        <w:rPr>
          <w:lang w:val="pt-BR" w:eastAsia="en-US" w:bidi="ar-SA"/>
        </w:rPr>
        <w:t>Ward sem critério de Ward (1963)</w:t>
      </w:r>
    </w:p>
    <w:p>
      <w:pPr>
        <w:pStyle w:val="Compact"/>
        <w:numPr>
          <w:ilvl w:val="1"/>
          <w:numId w:val="45"/>
        </w:numPr>
        <w:rPr>
          <w:lang w:val="pt-BR" w:eastAsia="en-US" w:bidi="ar-SA"/>
        </w:rPr>
      </w:pPr>
      <w:r>
        <w:rPr>
          <w:lang w:val="pt-BR" w:eastAsia="en-US" w:bidi="ar-SA"/>
        </w:rPr>
        <w:t>Ward com critério de Ward (1963)</w:t>
      </w:r>
    </w:p>
    <w:p>
      <w:pPr>
        <w:pStyle w:val="Compact"/>
        <w:numPr>
          <w:ilvl w:val="1"/>
          <w:numId w:val="46"/>
        </w:numPr>
        <w:rPr>
          <w:lang w:val="pt-BR" w:eastAsia="en-US" w:bidi="ar-SA"/>
        </w:rPr>
      </w:pPr>
      <w:r>
        <w:rPr>
          <w:lang w:val="pt-BR" w:eastAsia="en-US" w:bidi="ar-SA"/>
        </w:rPr>
        <w:t>Mediana *</w:t>
      </w:r>
    </w:p>
    <w:p>
      <w:pPr>
        <w:pStyle w:val="Compact"/>
        <w:numPr>
          <w:ilvl w:val="1"/>
          <w:numId w:val="47"/>
        </w:numPr>
        <w:rPr>
          <w:lang w:val="pt-BR" w:eastAsia="en-US" w:bidi="ar-SA"/>
        </w:rPr>
      </w:pPr>
      <w:r>
        <w:rPr>
          <w:lang w:val="pt-BR" w:eastAsia="en-US" w:bidi="ar-SA"/>
        </w:rPr>
        <w:t>Centroide *</w:t>
      </w:r>
    </w:p>
    <w:p>
      <w:pPr>
        <w:pStyle w:val="FirstParagraph"/>
        <w:rPr>
          <w:lang w:val="pt-BR" w:eastAsia="en-US" w:bidi="ar-SA"/>
        </w:rPr>
      </w:pPr>
      <w:r>
        <w:rPr>
          <w:lang w:val="pt-BR" w:eastAsia="en-US" w:bidi="ar-SA"/>
        </w:rPr>
        <w:t>* Os métodos de ligação por mediana e centroide podem gerar inversões na clusterização hierárquica e foram excluídos das recomendações. Sua inclusão no algoritmo de otimização terá apenas fins informativos.</w:t>
      </w:r>
    </w:p>
    <w:p>
      <w:pPr>
        <w:pStyle w:val="Corpodotexto"/>
        <w:rPr/>
      </w:pPr>
      <w:r>
        <w:rPr>
          <w:lang w:val="pt-BR" w:eastAsia="en-US" w:bidi="ar-SA"/>
        </w:rPr>
        <w:t xml:space="preserve">Esta análise foi realizada utilizando-se o software </w:t>
      </w:r>
      <w:r>
        <w:rPr>
          <w:rStyle w:val="VerbatimChar"/>
          <w:lang w:val="pt-BR" w:eastAsia="en-US" w:bidi="ar-SA"/>
        </w:rPr>
        <w:t>R</w:t>
      </w:r>
      <w:r>
        <w:rPr>
          <w:lang w:val="pt-BR" w:eastAsia="en-US" w:bidi="ar-SA"/>
        </w:rPr>
        <w:t xml:space="preserve"> versão 4.1.1.</w:t>
      </w:r>
      <w:bookmarkStart w:id="16" w:name="análises-estatísticas"/>
      <w:bookmarkStart w:id="17" w:name="metodologia"/>
      <w:bookmarkEnd w:id="16"/>
      <w:bookmarkEnd w:id="17"/>
    </w:p>
    <w:p>
      <w:pPr>
        <w:pStyle w:val="Ttulo1"/>
        <w:rPr>
          <w:lang w:val="pt-BR" w:eastAsia="en-US" w:bidi="ar-SA"/>
        </w:rPr>
      </w:pPr>
      <w:bookmarkStart w:id="18" w:name="__RefHeading___Toc2481_4135361525"/>
      <w:bookmarkEnd w:id="18"/>
      <w:r>
        <w:rPr>
          <w:lang w:val="pt-BR" w:eastAsia="en-US" w:bidi="ar-SA"/>
        </w:rPr>
        <w:t>Resultados</w:t>
      </w:r>
    </w:p>
    <w:p>
      <w:pPr>
        <w:pStyle w:val="Ttulo2"/>
        <w:rPr>
          <w:lang w:val="pt-BR" w:eastAsia="en-US" w:bidi="ar-SA"/>
        </w:rPr>
      </w:pPr>
      <w:bookmarkStart w:id="19" w:name="__RefHeading___Toc2483_4135361525"/>
      <w:bookmarkEnd w:id="19"/>
      <w:r>
        <w:rPr>
          <w:lang w:val="pt-BR" w:eastAsia="en-US" w:bidi="ar-SA"/>
        </w:rPr>
        <w:t>Espaço de hiperparâmetros</w:t>
      </w:r>
    </w:p>
    <w:p>
      <w:pPr>
        <w:pStyle w:val="FirstParagraph"/>
        <w:rPr>
          <w:lang w:val="pt-BR" w:eastAsia="en-US" w:bidi="ar-SA"/>
        </w:rPr>
      </w:pPr>
      <w:r>
        <w:rPr>
          <w:lang w:val="pt-BR" w:eastAsia="en-US" w:bidi="ar-SA"/>
        </w:rPr>
        <w:t>Ao todo foram incluídas 378 combinações dos três hiperparâmetros, com suas respectivas clusterizações hierárquicas geradas e silhuetas médias calculadas.</w:t>
      </w:r>
    </w:p>
    <w:p>
      <w:pPr>
        <w:pStyle w:val="Corpodotexto"/>
        <w:rPr/>
      </w:pPr>
      <w:r>
        <w:rPr>
          <w:lang w:val="pt-BR" w:eastAsia="en-US" w:bidi="ar-SA"/>
        </w:rPr>
        <w:t xml:space="preserve">A fim de facilitar o uso dos resultados desta análise, foi escolhido descrever os conjuntos de parâmetros de acordo com os argumentos das funções da linguagem R. Desta forma, a escolha de hiperparâmetros baseada nas análises de silhueta média podem ser diretamente aplicados na implementação. Os detalhes dos argumentos a seguir podem ser vistos na documentação das funções </w:t>
      </w:r>
      <w:r>
        <w:rPr>
          <w:rStyle w:val="VerbatimChar"/>
          <w:lang w:val="pt-BR" w:eastAsia="en-US" w:bidi="ar-SA"/>
        </w:rPr>
        <w:t>dist</w:t>
      </w:r>
      <w:r>
        <w:rPr>
          <w:lang w:val="pt-BR" w:eastAsia="en-US" w:bidi="ar-SA"/>
        </w:rPr>
        <w:t xml:space="preserve"> e </w:t>
      </w:r>
      <w:r>
        <w:rPr>
          <w:rStyle w:val="VerbatimChar"/>
          <w:lang w:val="pt-BR" w:eastAsia="en-US" w:bidi="ar-SA"/>
        </w:rPr>
        <w:t>hclust</w:t>
      </w:r>
      <w:r>
        <w:rPr>
          <w:lang w:val="pt-BR" w:eastAsia="en-US" w:bidi="ar-SA"/>
        </w:rPr>
        <w:t xml:space="preserve">, do R base (pacote </w:t>
      </w:r>
      <w:r>
        <w:rPr>
          <w:rStyle w:val="VerbatimChar"/>
          <w:lang w:val="pt-BR" w:eastAsia="en-US" w:bidi="ar-SA"/>
        </w:rPr>
        <w:t>stats</w:t>
      </w:r>
      <w:r>
        <w:rPr>
          <w:lang w:val="pt-BR" w:eastAsia="en-US" w:bidi="ar-SA"/>
        </w:rPr>
        <w:t>).</w:t>
      </w:r>
    </w:p>
    <w:p>
      <w:pPr>
        <w:pStyle w:val="Corpodotexto"/>
        <w:rPr>
          <w:lang w:val="pt-BR" w:eastAsia="en-US" w:bidi="ar-SA"/>
        </w:rPr>
      </w:pPr>
      <w:r>
        <w:rPr>
          <w:lang w:val="pt-BR" w:eastAsia="en-US" w:bidi="ar-SA"/>
        </w:rPr>
        <w:t>As métricas de distância descritas nesta seção são:</w:t>
      </w:r>
    </w:p>
    <w:p>
      <w:pPr>
        <w:pStyle w:val="Compact"/>
        <w:numPr>
          <w:ilvl w:val="0"/>
          <w:numId w:val="48"/>
        </w:numPr>
        <w:rPr>
          <w:lang w:val="pt-BR" w:eastAsia="en-US" w:bidi="ar-SA"/>
        </w:rPr>
      </w:pPr>
      <w:r>
        <w:rPr>
          <w:b/>
          <w:bCs/>
          <w:lang w:val="pt-BR" w:eastAsia="en-US" w:bidi="ar-SA"/>
        </w:rPr>
        <w:t>canberra</w:t>
      </w:r>
      <w:r>
        <w:rPr>
          <w:lang w:val="pt-BR" w:eastAsia="en-US" w:bidi="ar-SA"/>
        </w:rPr>
        <w:t>: Métrica de Canberra;</w:t>
      </w:r>
    </w:p>
    <w:p>
      <w:pPr>
        <w:pStyle w:val="Compact"/>
        <w:numPr>
          <w:ilvl w:val="0"/>
          <w:numId w:val="49"/>
        </w:numPr>
        <w:rPr>
          <w:lang w:val="pt-BR" w:eastAsia="en-US" w:bidi="ar-SA"/>
        </w:rPr>
      </w:pPr>
      <w:r>
        <w:rPr>
          <w:b/>
          <w:bCs/>
          <w:lang w:val="pt-BR" w:eastAsia="en-US" w:bidi="ar-SA"/>
        </w:rPr>
        <w:t>euclidian</w:t>
      </w:r>
      <w:r>
        <w:rPr>
          <w:lang w:val="pt-BR" w:eastAsia="en-US" w:bidi="ar-SA"/>
        </w:rPr>
        <w:t>: Métrica Euclidiana (norma 2);</w:t>
      </w:r>
    </w:p>
    <w:p>
      <w:pPr>
        <w:pStyle w:val="Compact"/>
        <w:numPr>
          <w:ilvl w:val="0"/>
          <w:numId w:val="50"/>
        </w:numPr>
        <w:rPr>
          <w:lang w:val="pt-BR" w:eastAsia="en-US" w:bidi="ar-SA"/>
        </w:rPr>
      </w:pPr>
      <w:r>
        <w:rPr>
          <w:b/>
          <w:bCs/>
          <w:lang w:val="pt-BR" w:eastAsia="en-US" w:bidi="ar-SA"/>
        </w:rPr>
        <w:t>manhattan</w:t>
      </w:r>
      <w:r>
        <w:rPr>
          <w:lang w:val="pt-BR" w:eastAsia="en-US" w:bidi="ar-SA"/>
        </w:rPr>
        <w:t>: Métrica de Manhattan (norma 1);</w:t>
      </w:r>
    </w:p>
    <w:p>
      <w:pPr>
        <w:pStyle w:val="Compact"/>
        <w:numPr>
          <w:ilvl w:val="0"/>
          <w:numId w:val="51"/>
        </w:numPr>
        <w:rPr>
          <w:lang w:val="pt-BR" w:eastAsia="en-US" w:bidi="ar-SA"/>
        </w:rPr>
      </w:pPr>
      <w:r>
        <w:rPr>
          <w:b/>
          <w:bCs/>
          <w:lang w:val="pt-BR" w:eastAsia="en-US" w:bidi="ar-SA"/>
        </w:rPr>
        <w:t>maximum</w:t>
      </w:r>
      <w:r>
        <w:rPr>
          <w:lang w:val="pt-BR" w:eastAsia="en-US" w:bidi="ar-SA"/>
        </w:rPr>
        <w:t>: Métrica do supremo (norma infinito);</w:t>
      </w:r>
    </w:p>
    <w:p>
      <w:pPr>
        <w:pStyle w:val="Compact"/>
        <w:numPr>
          <w:ilvl w:val="0"/>
          <w:numId w:val="52"/>
        </w:numPr>
        <w:rPr>
          <w:lang w:val="pt-BR" w:eastAsia="en-US" w:bidi="ar-SA"/>
        </w:rPr>
      </w:pPr>
      <w:r>
        <w:rPr>
          <w:b/>
          <w:bCs/>
          <w:lang w:val="pt-BR" w:eastAsia="en-US" w:bidi="ar-SA"/>
        </w:rPr>
        <w:t>minkowski_0.5</w:t>
      </w:r>
      <w:r>
        <w:rPr>
          <w:lang w:val="pt-BR" w:eastAsia="en-US" w:bidi="ar-SA"/>
        </w:rPr>
        <w:t>: Métrica de Minkowski (norma p), p = 0.5;</w:t>
      </w:r>
    </w:p>
    <w:p>
      <w:pPr>
        <w:pStyle w:val="Compact"/>
        <w:numPr>
          <w:ilvl w:val="0"/>
          <w:numId w:val="53"/>
        </w:numPr>
        <w:rPr>
          <w:lang w:val="pt-BR" w:eastAsia="en-US" w:bidi="ar-SA"/>
        </w:rPr>
      </w:pPr>
      <w:r>
        <w:rPr>
          <w:b/>
          <w:bCs/>
          <w:lang w:val="pt-BR" w:eastAsia="en-US" w:bidi="ar-SA"/>
        </w:rPr>
        <w:t>minkowski_1.5</w:t>
      </w:r>
      <w:r>
        <w:rPr>
          <w:lang w:val="pt-BR" w:eastAsia="en-US" w:bidi="ar-SA"/>
        </w:rPr>
        <w:t>: Métrica de Minkowski (norma p), p = 1.5.</w:t>
      </w:r>
    </w:p>
    <w:p>
      <w:pPr>
        <w:pStyle w:val="FirstParagraph"/>
        <w:rPr>
          <w:lang w:val="pt-BR" w:eastAsia="en-US" w:bidi="ar-SA"/>
        </w:rPr>
      </w:pPr>
      <w:r>
        <w:rPr>
          <w:lang w:val="pt-BR" w:eastAsia="en-US" w:bidi="ar-SA"/>
        </w:rPr>
        <w:t>Os métodos de ligação descritos nesta seção são:</w:t>
      </w:r>
    </w:p>
    <w:p>
      <w:pPr>
        <w:pStyle w:val="Compact"/>
        <w:numPr>
          <w:ilvl w:val="0"/>
          <w:numId w:val="54"/>
        </w:numPr>
        <w:rPr>
          <w:lang w:val="pt-BR" w:eastAsia="en-US" w:bidi="ar-SA"/>
        </w:rPr>
      </w:pPr>
      <w:r>
        <w:rPr>
          <w:b/>
          <w:bCs/>
          <w:lang w:val="pt-BR" w:eastAsia="en-US" w:bidi="ar-SA"/>
        </w:rPr>
        <w:t>average</w:t>
      </w:r>
      <w:r>
        <w:rPr>
          <w:lang w:val="pt-BR" w:eastAsia="en-US" w:bidi="ar-SA"/>
        </w:rPr>
        <w:t>: Método de ligação média (distância média);</w:t>
      </w:r>
    </w:p>
    <w:p>
      <w:pPr>
        <w:pStyle w:val="Compact"/>
        <w:numPr>
          <w:ilvl w:val="0"/>
          <w:numId w:val="55"/>
        </w:numPr>
        <w:rPr>
          <w:lang w:val="pt-BR" w:eastAsia="en-US" w:bidi="ar-SA"/>
        </w:rPr>
      </w:pPr>
      <w:r>
        <w:rPr>
          <w:b/>
          <w:bCs/>
          <w:lang w:val="pt-BR" w:eastAsia="en-US" w:bidi="ar-SA"/>
        </w:rPr>
        <w:t>centroid</w:t>
      </w:r>
      <w:r>
        <w:rPr>
          <w:lang w:val="pt-BR" w:eastAsia="en-US" w:bidi="ar-SA"/>
        </w:rPr>
        <w:t>: Método de ligação centroide;</w:t>
      </w:r>
    </w:p>
    <w:p>
      <w:pPr>
        <w:pStyle w:val="Compact"/>
        <w:numPr>
          <w:ilvl w:val="0"/>
          <w:numId w:val="56"/>
        </w:numPr>
        <w:rPr>
          <w:lang w:val="pt-BR" w:eastAsia="en-US" w:bidi="ar-SA"/>
        </w:rPr>
      </w:pPr>
      <w:r>
        <w:rPr>
          <w:b/>
          <w:bCs/>
          <w:lang w:val="pt-BR" w:eastAsia="en-US" w:bidi="ar-SA"/>
        </w:rPr>
        <w:t>complete</w:t>
      </w:r>
      <w:r>
        <w:rPr>
          <w:lang w:val="pt-BR" w:eastAsia="en-US" w:bidi="ar-SA"/>
        </w:rPr>
        <w:t>: Método de ligação completa (distância máxima);</w:t>
      </w:r>
    </w:p>
    <w:p>
      <w:pPr>
        <w:pStyle w:val="Compact"/>
        <w:numPr>
          <w:ilvl w:val="0"/>
          <w:numId w:val="57"/>
        </w:numPr>
        <w:rPr>
          <w:lang w:val="pt-BR" w:eastAsia="en-US" w:bidi="ar-SA"/>
        </w:rPr>
      </w:pPr>
      <w:r>
        <w:rPr>
          <w:b/>
          <w:bCs/>
          <w:lang w:val="pt-BR" w:eastAsia="en-US" w:bidi="ar-SA"/>
        </w:rPr>
        <w:t>median</w:t>
      </w:r>
      <w:r>
        <w:rPr>
          <w:lang w:val="pt-BR" w:eastAsia="en-US" w:bidi="ar-SA"/>
        </w:rPr>
        <w:t>: Método de ligação da mediana;</w:t>
      </w:r>
    </w:p>
    <w:p>
      <w:pPr>
        <w:pStyle w:val="Compact"/>
        <w:numPr>
          <w:ilvl w:val="0"/>
          <w:numId w:val="58"/>
        </w:numPr>
        <w:rPr>
          <w:lang w:val="pt-BR" w:eastAsia="en-US" w:bidi="ar-SA"/>
        </w:rPr>
      </w:pPr>
      <w:r>
        <w:rPr>
          <w:b/>
          <w:bCs/>
          <w:lang w:val="pt-BR" w:eastAsia="en-US" w:bidi="ar-SA"/>
        </w:rPr>
        <w:t>single</w:t>
      </w:r>
      <w:r>
        <w:rPr>
          <w:lang w:val="pt-BR" w:eastAsia="en-US" w:bidi="ar-SA"/>
        </w:rPr>
        <w:t>: Método de ligação single (distância mínima);</w:t>
      </w:r>
    </w:p>
    <w:p>
      <w:pPr>
        <w:pStyle w:val="Compact"/>
        <w:numPr>
          <w:ilvl w:val="0"/>
          <w:numId w:val="59"/>
        </w:numPr>
        <w:rPr>
          <w:lang w:val="pt-BR" w:eastAsia="en-US" w:bidi="ar-SA"/>
        </w:rPr>
      </w:pPr>
      <w:r>
        <w:rPr>
          <w:b/>
          <w:bCs/>
          <w:lang w:val="pt-BR" w:eastAsia="en-US" w:bidi="ar-SA"/>
        </w:rPr>
        <w:t>ward.D</w:t>
      </w:r>
      <w:r>
        <w:rPr>
          <w:lang w:val="pt-BR" w:eastAsia="en-US" w:bidi="ar-SA"/>
        </w:rPr>
        <w:t>: Método de ligação de Ward (sem critério de Ward 1963);</w:t>
      </w:r>
    </w:p>
    <w:p>
      <w:pPr>
        <w:pStyle w:val="Compact"/>
        <w:numPr>
          <w:ilvl w:val="0"/>
          <w:numId w:val="60"/>
        </w:numPr>
        <w:rPr>
          <w:lang w:val="pt-BR" w:eastAsia="en-US" w:bidi="ar-SA"/>
        </w:rPr>
      </w:pPr>
      <w:r>
        <w:rPr>
          <w:b/>
          <w:bCs/>
          <w:lang w:val="pt-BR" w:eastAsia="en-US" w:bidi="ar-SA"/>
        </w:rPr>
        <w:t>ward.D2</w:t>
      </w:r>
      <w:r>
        <w:rPr>
          <w:lang w:val="pt-BR" w:eastAsia="en-US" w:bidi="ar-SA"/>
        </w:rPr>
        <w:t>: Método de ligação de Ward (com critério de Ward 1963).</w:t>
      </w:r>
    </w:p>
    <w:p>
      <w:pPr>
        <w:pStyle w:val="FirstParagraph"/>
        <w:rPr>
          <w:lang w:val="pt-BR" w:eastAsia="en-US" w:bidi="ar-SA"/>
        </w:rPr>
      </w:pPr>
      <w:r>
        <w:rPr>
          <w:lang w:val="pt-BR" w:eastAsia="en-US" w:bidi="ar-SA"/>
        </w:rPr>
        <w:t>Como a visualização de um espaço com quatro dimensões é desafiadora, vamos inicialmente considerar as projeções em espaços bidimensionais e avaliar a variabilidade de performance mensurado pelas silhuetas médias em cada hiperparâmetro.</w:t>
      </w:r>
    </w:p>
    <w:p>
      <w:pPr>
        <w:pStyle w:val="Corpodotexto"/>
        <w:rPr>
          <w:lang w:val="pt-BR" w:eastAsia="en-US" w:bidi="ar-SA"/>
        </w:rPr>
      </w:pPr>
      <w:r>
        <w:rPr>
          <w:lang w:val="pt-BR" w:eastAsia="en-US" w:bidi="ar-SA"/>
        </w:rPr>
        <w:t>Trocando as métricas de distância (Figura 1) a melhor performance foi obtida pela métrica maximum, com silhueta média 0.461, seguida da métrica de Minkowski com p = 0.5 (silhueta média 0.424). As métricas de Minkowski com p = 1.5 e Canberra tiveram a pior performance geral com as maiores silhuetas médias atingindo 0.383 e 0.335, respectivamente. As menores silhuetas médias foram observadas na métrica de Minkowski com p = 0.5 e Manhattan (silhueta média -0.0857 e 0.00716, respectivamente).</w:t>
      </w:r>
    </w:p>
    <w:p>
      <w:pPr>
        <w:pStyle w:val="CaptionedFigure"/>
        <w:rPr>
          <w:lang w:val="pt-BR" w:eastAsia="en-US" w:bidi="ar-SA"/>
        </w:rPr>
      </w:pPr>
      <w:r>
        <w:rPr>
          <w:lang w:val="pt-BR" w:eastAsia="en-US" w:bidi="ar-SA"/>
        </w:rPr>
        <w:drawing>
          <wp:inline distT="0" distB="0" distL="0" distR="0">
            <wp:extent cx="4694555" cy="2886710"/>
            <wp:effectExtent l="0" t="0" r="0" b="0"/>
            <wp:docPr id="3" name="Picture" descr="Figura 1 Distribuição da idade na população do est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a 1 Distribuição da idade na população do estudo."/>
                    <pic:cNvPicPr>
                      <a:picLocks noChangeAspect="1" noChangeArrowheads="1"/>
                    </pic:cNvPicPr>
                  </pic:nvPicPr>
                  <pic:blipFill>
                    <a:blip r:embed="rId2"/>
                    <a:stretch>
                      <a:fillRect/>
                    </a:stretch>
                  </pic:blipFill>
                  <pic:spPr bwMode="auto">
                    <a:xfrm>
                      <a:off x="0" y="0"/>
                      <a:ext cx="4694555" cy="2886710"/>
                    </a:xfrm>
                    <a:prstGeom prst="rect">
                      <a:avLst/>
                    </a:prstGeom>
                  </pic:spPr>
                </pic:pic>
              </a:graphicData>
            </a:graphic>
          </wp:inline>
        </w:drawing>
      </w:r>
    </w:p>
    <w:p>
      <w:pPr>
        <w:pStyle w:val="ImageCaption"/>
        <w:rPr>
          <w:lang w:val="pt-BR" w:eastAsia="en-US" w:bidi="ar-SA"/>
        </w:rPr>
      </w:pPr>
      <w:r>
        <w:rPr>
          <w:b/>
          <w:bCs/>
          <w:lang w:val="pt-BR" w:eastAsia="en-US" w:bidi="ar-SA"/>
        </w:rPr>
        <w:t>Figura 1</w:t>
      </w:r>
      <w:r>
        <w:rPr>
          <w:lang w:val="pt-BR" w:eastAsia="en-US" w:bidi="ar-SA"/>
        </w:rPr>
        <w:t xml:space="preserve"> Silhuetas médias de clusters hierárquicos para diferentes </w:t>
      </w:r>
      <w:r>
        <w:rPr>
          <w:rFonts w:eastAsia="Cambria" w:cs="" w:cstheme="minorBidi" w:eastAsiaTheme="minorHAnsi"/>
          <w:i/>
          <w:color w:val="auto"/>
          <w:kern w:val="0"/>
          <w:sz w:val="24"/>
          <w:szCs w:val="24"/>
          <w:lang w:val="pt-BR" w:eastAsia="en-US" w:bidi="ar-SA"/>
        </w:rPr>
        <w:t>métricas</w:t>
      </w:r>
      <w:r>
        <w:rPr>
          <w:lang w:val="pt-BR" w:eastAsia="en-US" w:bidi="ar-SA"/>
        </w:rPr>
        <w:t>.</w:t>
      </w:r>
    </w:p>
    <w:p>
      <w:pPr>
        <w:pStyle w:val="Corpodotexto"/>
        <w:rPr>
          <w:lang w:val="pt-BR" w:eastAsia="en-US" w:bidi="ar-SA"/>
        </w:rPr>
      </w:pPr>
      <w:r>
        <w:rPr>
          <w:lang w:val="pt-BR" w:eastAsia="en-US" w:bidi="ar-SA"/>
        </w:rPr>
        <w:t>Trocando os métodos de ligação (Figura 2) o maior valor de silhueta foi observado simultaneamente em três métodos: centroide, mediana e single com silhueta média 0.461. O segundo maior valor observado foi outro empate, desta vez entre os métodos ward.D e ward.D2 (0.424). Os dois menores valores de silhueta foram observados com o método single (-0.0857) e mediana (-0.0628).</w:t>
      </w:r>
    </w:p>
    <w:p>
      <w:pPr>
        <w:pStyle w:val="CaptionedFigure"/>
        <w:rPr>
          <w:lang w:val="pt-BR" w:eastAsia="en-US" w:bidi="ar-SA"/>
        </w:rPr>
      </w:pPr>
      <w:r>
        <w:rPr>
          <w:lang w:val="pt-BR" w:eastAsia="en-US" w:bidi="ar-SA"/>
        </w:rPr>
        <w:drawing>
          <wp:inline distT="0" distB="0" distL="0" distR="0">
            <wp:extent cx="4694555" cy="2886710"/>
            <wp:effectExtent l="0" t="0" r="0" b="0"/>
            <wp:docPr id="4" name="Figura1" descr="Figura 2 Distribuição da idade na população do est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Figura 2 Distribuição da idade na população do estudo."/>
                    <pic:cNvPicPr>
                      <a:picLocks noChangeAspect="1" noChangeArrowheads="1"/>
                    </pic:cNvPicPr>
                  </pic:nvPicPr>
                  <pic:blipFill>
                    <a:blip r:embed="rId3"/>
                    <a:stretch>
                      <a:fillRect/>
                    </a:stretch>
                  </pic:blipFill>
                  <pic:spPr bwMode="auto">
                    <a:xfrm>
                      <a:off x="0" y="0"/>
                      <a:ext cx="4694555" cy="2886710"/>
                    </a:xfrm>
                    <a:prstGeom prst="rect">
                      <a:avLst/>
                    </a:prstGeom>
                  </pic:spPr>
                </pic:pic>
              </a:graphicData>
            </a:graphic>
          </wp:inline>
        </w:drawing>
      </w:r>
    </w:p>
    <w:p>
      <w:pPr>
        <w:pStyle w:val="ImageCaption"/>
        <w:rPr>
          <w:lang w:val="pt-BR" w:eastAsia="en-US" w:bidi="ar-SA"/>
        </w:rPr>
      </w:pPr>
      <w:r>
        <w:rPr>
          <w:b/>
          <w:bCs/>
          <w:lang w:val="pt-BR" w:eastAsia="en-US" w:bidi="ar-SA"/>
        </w:rPr>
        <w:t>Figura 2</w:t>
      </w:r>
      <w:r>
        <w:rPr>
          <w:lang w:val="pt-BR" w:eastAsia="en-US" w:bidi="ar-SA"/>
        </w:rPr>
        <w:t xml:space="preserve"> Silhuetas médias de clusters hierárquicos para diferentes métodos de ligação.</w:t>
      </w:r>
    </w:p>
    <w:p>
      <w:pPr>
        <w:pStyle w:val="Corpodotexto"/>
        <w:rPr>
          <w:lang w:val="pt-BR" w:eastAsia="en-US" w:bidi="ar-SA"/>
        </w:rPr>
      </w:pPr>
      <w:r>
        <w:rPr>
          <w:lang w:val="pt-BR" w:eastAsia="en-US" w:bidi="ar-SA"/>
        </w:rPr>
        <w:t>Trocando o número k de clusters (Figura 3) o maior valor de silhueta média foi observado com k = 2 (0.461), seguido de k = 10 (0.424) e k = 9 (0.416). Os valores mais baixos de silhueta observados foram -0.0857 para k=8 e -0.0628 para k=6.</w:t>
      </w:r>
    </w:p>
    <w:p>
      <w:pPr>
        <w:pStyle w:val="CaptionedFigure"/>
        <w:rPr>
          <w:lang w:val="pt-BR" w:eastAsia="en-US" w:bidi="ar-SA"/>
        </w:rPr>
      </w:pPr>
      <w:r>
        <w:rPr>
          <w:lang w:val="pt-BR" w:eastAsia="en-US" w:bidi="ar-SA"/>
        </w:rPr>
        <w:drawing>
          <wp:inline distT="0" distB="0" distL="0" distR="0">
            <wp:extent cx="4694555" cy="2886710"/>
            <wp:effectExtent l="0" t="0" r="0" b="0"/>
            <wp:docPr id="5" name="Figura2" descr="Figura 3 Distribuição da idade na população do est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Figura 3 Distribuição da idade na população do estudo."/>
                    <pic:cNvPicPr>
                      <a:picLocks noChangeAspect="1" noChangeArrowheads="1"/>
                    </pic:cNvPicPr>
                  </pic:nvPicPr>
                  <pic:blipFill>
                    <a:blip r:embed="rId4"/>
                    <a:stretch>
                      <a:fillRect/>
                    </a:stretch>
                  </pic:blipFill>
                  <pic:spPr bwMode="auto">
                    <a:xfrm>
                      <a:off x="0" y="0"/>
                      <a:ext cx="4694555" cy="2886710"/>
                    </a:xfrm>
                    <a:prstGeom prst="rect">
                      <a:avLst/>
                    </a:prstGeom>
                  </pic:spPr>
                </pic:pic>
              </a:graphicData>
            </a:graphic>
          </wp:inline>
        </w:drawing>
      </w:r>
    </w:p>
    <w:p>
      <w:pPr>
        <w:pStyle w:val="ImageCaption"/>
        <w:rPr>
          <w:lang w:val="pt-BR" w:eastAsia="en-US" w:bidi="ar-SA"/>
        </w:rPr>
      </w:pPr>
      <w:r>
        <w:rPr>
          <w:b/>
          <w:bCs/>
          <w:lang w:val="pt-BR" w:eastAsia="en-US" w:bidi="ar-SA"/>
        </w:rPr>
        <w:t>Figura 3</w:t>
      </w:r>
      <w:r>
        <w:rPr>
          <w:lang w:val="pt-BR" w:eastAsia="en-US" w:bidi="ar-SA"/>
        </w:rPr>
        <w:t xml:space="preserve"> Silhuetas médias de clusters hierárquicos para diferentes valores de k.</w:t>
      </w:r>
    </w:p>
    <w:p>
      <w:pPr>
        <w:pStyle w:val="Corpodotexto"/>
        <w:rPr/>
      </w:pPr>
      <w:r>
        <w:rPr>
          <w:lang w:val="pt-BR" w:eastAsia="en-US" w:bidi="ar-SA"/>
        </w:rPr>
        <w:t xml:space="preserve">No geral, as silhuetas médias observadas variaram entre -0.0857 e 0.461. A Tabela 1 mostra os dez maiores valores de silhueta, e as combinações de hiperparâmetros que os geraram. A Figura 4 mostra todas as 378 combinações de hiperparâmetros avaliadas. Foi necessário acrescentar um pequeno jitter horizontal para permitir a visualização de pontos sobrepostos, e a paleta de cores foi organizada para desenfatizar os métodos de ligação que não serão recomendados na aplicação dos resultados desta análise (centroide e mediana). A listagem completa de valores de silhueta média podem ser consultados </w:t>
      </w:r>
      <w:hyperlink r:id="rId5">
        <w:r>
          <w:rPr>
            <w:lang w:val="pt-BR" w:eastAsia="en-US" w:bidi="ar-SA"/>
          </w:rPr>
          <w:t>neste link</w:t>
        </w:r>
      </w:hyperlink>
      <w:r>
        <w:rPr>
          <w:lang w:val="pt-BR" w:eastAsia="en-US" w:bidi="ar-SA"/>
        </w:rPr>
        <w:t>.</w:t>
      </w:r>
    </w:p>
    <w:p>
      <w:pPr>
        <w:pStyle w:val="TableCaption"/>
        <w:rPr>
          <w:lang w:val="pt-BR" w:eastAsia="en-US" w:bidi="ar-SA"/>
        </w:rPr>
      </w:pPr>
      <w:r>
        <w:rPr>
          <w:b/>
          <w:bCs/>
          <w:lang w:val="pt-BR" w:eastAsia="en-US" w:bidi="ar-SA"/>
        </w:rPr>
        <w:t>Tabela 1</w:t>
      </w:r>
      <w:r>
        <w:rPr>
          <w:lang w:val="pt-BR" w:eastAsia="en-US" w:bidi="ar-SA"/>
        </w:rPr>
        <w:t xml:space="preserve"> Combinações de hiperparâmetros com os dez maiores valores de silhueta média.</w:t>
      </w:r>
    </w:p>
    <w:tbl>
      <w:tblPr>
        <w:tblStyle w:val="Table"/>
        <w:tblW w:w="9638"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1927"/>
        <w:gridCol w:w="1928"/>
        <w:gridCol w:w="1927"/>
        <w:gridCol w:w="1928"/>
        <w:gridCol w:w="1928"/>
      </w:tblGrid>
      <w:tr>
        <w:trPr/>
        <w:tc>
          <w:tcPr>
            <w:tcW w:w="192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r>
          </w:p>
        </w:tc>
        <w:tc>
          <w:tcPr>
            <w:tcW w:w="192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k</w:t>
            </w:r>
          </w:p>
        </w:tc>
        <w:tc>
          <w:tcPr>
            <w:tcW w:w="192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Métrica (distância)</w:t>
            </w:r>
          </w:p>
        </w:tc>
        <w:tc>
          <w:tcPr>
            <w:tcW w:w="192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Método de ligação</w:t>
            </w:r>
          </w:p>
        </w:tc>
        <w:tc>
          <w:tcPr>
            <w:tcW w:w="1928"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b/>
                <w:b/>
                <w:bCs/>
                <w:i w:val="false"/>
                <w:i w:val="false"/>
                <w:iCs w:val="false"/>
                <w:strike w:val="false"/>
                <w:dstrike w:val="false"/>
                <w:outline w:val="false"/>
                <w:shadow w:val="false"/>
                <w:color w:val="000000"/>
                <w:sz w:val="22"/>
                <w:szCs w:val="22"/>
                <w:u w:val="none"/>
                <w:lang w:val="pt-BR" w:eastAsia="en-US" w:bidi="ar-SA"/>
              </w:rPr>
            </w:pPr>
            <w:r>
              <w:rPr>
                <w:b/>
                <w:bCs/>
                <w:i w:val="false"/>
                <w:iCs w:val="false"/>
                <w:strike w:val="false"/>
                <w:dstrike w:val="false"/>
                <w:outline w:val="false"/>
                <w:shadow w:val="false"/>
                <w:color w:val="000000"/>
                <w:sz w:val="22"/>
                <w:szCs w:val="22"/>
                <w:u w:val="none"/>
                <w:lang w:val="pt-BR" w:eastAsia="en-US" w:bidi="ar-SA"/>
              </w:rPr>
              <w:t>Silhueta média</w:t>
            </w:r>
          </w:p>
        </w:tc>
      </w:tr>
      <w:tr>
        <w:trPr/>
        <w:tc>
          <w:tcPr>
            <w:tcW w:w="1927"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w:t>
            </w:r>
          </w:p>
        </w:tc>
        <w:tc>
          <w:tcPr>
            <w:tcW w:w="192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w:t>
            </w:r>
          </w:p>
        </w:tc>
        <w:tc>
          <w:tcPr>
            <w:tcW w:w="1927"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maximum</w:t>
            </w:r>
          </w:p>
        </w:tc>
        <w:tc>
          <w:tcPr>
            <w:tcW w:w="192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single</w:t>
            </w:r>
          </w:p>
        </w:tc>
        <w:tc>
          <w:tcPr>
            <w:tcW w:w="1928"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0.4614</w:t>
            </w:r>
          </w:p>
        </w:tc>
      </w:tr>
      <w:tr>
        <w:trPr/>
        <w:tc>
          <w:tcPr>
            <w:tcW w:w="1927"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w:t>
            </w:r>
          </w:p>
        </w:tc>
        <w:tc>
          <w:tcPr>
            <w:tcW w:w="192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w:t>
            </w:r>
          </w:p>
        </w:tc>
        <w:tc>
          <w:tcPr>
            <w:tcW w:w="1927"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maximum</w:t>
            </w:r>
          </w:p>
        </w:tc>
        <w:tc>
          <w:tcPr>
            <w:tcW w:w="192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median</w:t>
            </w:r>
          </w:p>
        </w:tc>
        <w:tc>
          <w:tcPr>
            <w:tcW w:w="1928"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0.4614</w:t>
            </w:r>
          </w:p>
        </w:tc>
      </w:tr>
      <w:tr>
        <w:trPr/>
        <w:tc>
          <w:tcPr>
            <w:tcW w:w="1927"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3</w:t>
            </w:r>
          </w:p>
        </w:tc>
        <w:tc>
          <w:tcPr>
            <w:tcW w:w="192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w:t>
            </w:r>
          </w:p>
        </w:tc>
        <w:tc>
          <w:tcPr>
            <w:tcW w:w="1927"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maximum</w:t>
            </w:r>
          </w:p>
        </w:tc>
        <w:tc>
          <w:tcPr>
            <w:tcW w:w="192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centroid</w:t>
            </w:r>
          </w:p>
        </w:tc>
        <w:tc>
          <w:tcPr>
            <w:tcW w:w="1928"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0.4614</w:t>
            </w:r>
          </w:p>
        </w:tc>
      </w:tr>
      <w:tr>
        <w:trPr/>
        <w:tc>
          <w:tcPr>
            <w:tcW w:w="1927"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4</w:t>
            </w:r>
          </w:p>
        </w:tc>
        <w:tc>
          <w:tcPr>
            <w:tcW w:w="192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10</w:t>
            </w:r>
          </w:p>
        </w:tc>
        <w:tc>
          <w:tcPr>
            <w:tcW w:w="1927"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minkowski_0.5</w:t>
            </w:r>
          </w:p>
        </w:tc>
        <w:tc>
          <w:tcPr>
            <w:tcW w:w="192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ward.D</w:t>
            </w:r>
          </w:p>
        </w:tc>
        <w:tc>
          <w:tcPr>
            <w:tcW w:w="1928"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0.4243</w:t>
            </w:r>
          </w:p>
        </w:tc>
      </w:tr>
      <w:tr>
        <w:trPr/>
        <w:tc>
          <w:tcPr>
            <w:tcW w:w="1927"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5</w:t>
            </w:r>
          </w:p>
        </w:tc>
        <w:tc>
          <w:tcPr>
            <w:tcW w:w="192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10</w:t>
            </w:r>
          </w:p>
        </w:tc>
        <w:tc>
          <w:tcPr>
            <w:tcW w:w="1927"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minkowski_0.5</w:t>
            </w:r>
          </w:p>
        </w:tc>
        <w:tc>
          <w:tcPr>
            <w:tcW w:w="192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ward.D2</w:t>
            </w:r>
          </w:p>
        </w:tc>
        <w:tc>
          <w:tcPr>
            <w:tcW w:w="1928"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0.4243</w:t>
            </w:r>
          </w:p>
        </w:tc>
      </w:tr>
      <w:tr>
        <w:trPr/>
        <w:tc>
          <w:tcPr>
            <w:tcW w:w="1927"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6</w:t>
            </w:r>
          </w:p>
        </w:tc>
        <w:tc>
          <w:tcPr>
            <w:tcW w:w="192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w:t>
            </w:r>
          </w:p>
        </w:tc>
        <w:tc>
          <w:tcPr>
            <w:tcW w:w="1927"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minkowski_0.5</w:t>
            </w:r>
          </w:p>
        </w:tc>
        <w:tc>
          <w:tcPr>
            <w:tcW w:w="192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single</w:t>
            </w:r>
          </w:p>
        </w:tc>
        <w:tc>
          <w:tcPr>
            <w:tcW w:w="1928"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0.4178</w:t>
            </w:r>
          </w:p>
        </w:tc>
      </w:tr>
      <w:tr>
        <w:trPr/>
        <w:tc>
          <w:tcPr>
            <w:tcW w:w="1927"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7</w:t>
            </w:r>
          </w:p>
        </w:tc>
        <w:tc>
          <w:tcPr>
            <w:tcW w:w="192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9</w:t>
            </w:r>
          </w:p>
        </w:tc>
        <w:tc>
          <w:tcPr>
            <w:tcW w:w="1927"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minkowski_0.5</w:t>
            </w:r>
          </w:p>
        </w:tc>
        <w:tc>
          <w:tcPr>
            <w:tcW w:w="192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ward.D</w:t>
            </w:r>
          </w:p>
        </w:tc>
        <w:tc>
          <w:tcPr>
            <w:tcW w:w="1928"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0.4159</w:t>
            </w:r>
          </w:p>
        </w:tc>
      </w:tr>
      <w:tr>
        <w:trPr/>
        <w:tc>
          <w:tcPr>
            <w:tcW w:w="1927"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8</w:t>
            </w:r>
          </w:p>
        </w:tc>
        <w:tc>
          <w:tcPr>
            <w:tcW w:w="192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9</w:t>
            </w:r>
          </w:p>
        </w:tc>
        <w:tc>
          <w:tcPr>
            <w:tcW w:w="1927"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minkowski_0.5</w:t>
            </w:r>
          </w:p>
        </w:tc>
        <w:tc>
          <w:tcPr>
            <w:tcW w:w="192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ward.D2</w:t>
            </w:r>
          </w:p>
        </w:tc>
        <w:tc>
          <w:tcPr>
            <w:tcW w:w="1928"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0.4159</w:t>
            </w:r>
          </w:p>
        </w:tc>
      </w:tr>
      <w:tr>
        <w:trPr/>
        <w:tc>
          <w:tcPr>
            <w:tcW w:w="1927"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9</w:t>
            </w:r>
          </w:p>
        </w:tc>
        <w:tc>
          <w:tcPr>
            <w:tcW w:w="192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w:t>
            </w:r>
          </w:p>
        </w:tc>
        <w:tc>
          <w:tcPr>
            <w:tcW w:w="1927"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euclidian</w:t>
            </w:r>
          </w:p>
        </w:tc>
        <w:tc>
          <w:tcPr>
            <w:tcW w:w="192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centroid</w:t>
            </w:r>
          </w:p>
        </w:tc>
        <w:tc>
          <w:tcPr>
            <w:tcW w:w="1928"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0.4107</w:t>
            </w:r>
          </w:p>
        </w:tc>
      </w:tr>
      <w:tr>
        <w:trPr/>
        <w:tc>
          <w:tcPr>
            <w:tcW w:w="1927"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10</w:t>
            </w:r>
          </w:p>
        </w:tc>
        <w:tc>
          <w:tcPr>
            <w:tcW w:w="192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8</w:t>
            </w:r>
          </w:p>
        </w:tc>
        <w:tc>
          <w:tcPr>
            <w:tcW w:w="1927"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minkowski_0.5</w:t>
            </w:r>
          </w:p>
        </w:tc>
        <w:tc>
          <w:tcPr>
            <w:tcW w:w="192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ward.D</w:t>
            </w:r>
          </w:p>
        </w:tc>
        <w:tc>
          <w:tcPr>
            <w:tcW w:w="1928"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0.3958</w:t>
            </w:r>
          </w:p>
        </w:tc>
      </w:tr>
      <w:tr>
        <w:trPr/>
        <w:tc>
          <w:tcPr>
            <w:tcW w:w="1927"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11</w:t>
            </w:r>
          </w:p>
        </w:tc>
        <w:tc>
          <w:tcPr>
            <w:tcW w:w="192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8</w:t>
            </w:r>
          </w:p>
        </w:tc>
        <w:tc>
          <w:tcPr>
            <w:tcW w:w="1927"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minkowski_0.5</w:t>
            </w:r>
          </w:p>
        </w:tc>
        <w:tc>
          <w:tcPr>
            <w:tcW w:w="1928" w:type="dxa"/>
            <w:tcBorders>
              <w:left w:val="single" w:sz="4" w:space="0" w:color="000000"/>
              <w:bottom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ward.D2</w:t>
            </w:r>
          </w:p>
        </w:tc>
        <w:tc>
          <w:tcPr>
            <w:tcW w:w="1928" w:type="dxa"/>
            <w:tcBorders>
              <w:left w:val="single" w:sz="4" w:space="0" w:color="000000"/>
              <w:bottom w:val="single" w:sz="4" w:space="0" w:color="000000"/>
              <w:right w:val="single" w:sz="4" w:space="0" w:color="000000"/>
            </w:tcBorders>
            <w:vAlign w:val="center"/>
          </w:tcPr>
          <w:p>
            <w:pPr>
              <w:pStyle w:val="Compact"/>
              <w:widowControl w:val="false"/>
              <w:jc w:val="center"/>
              <w:rPr>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0.3958</w:t>
            </w:r>
          </w:p>
        </w:tc>
      </w:tr>
    </w:tbl>
    <w:p>
      <w:pPr>
        <w:pStyle w:val="CaptionedFigure"/>
        <w:rPr>
          <w:lang w:val="pt-BR" w:eastAsia="en-US" w:bidi="ar-SA"/>
        </w:rPr>
      </w:pPr>
      <w:r>
        <w:rPr>
          <w:lang w:val="pt-BR" w:eastAsia="en-US" w:bidi="ar-SA"/>
        </w:rPr>
        <w:drawing>
          <wp:inline distT="0" distB="0" distL="0" distR="0">
            <wp:extent cx="5777230" cy="5777230"/>
            <wp:effectExtent l="0" t="0" r="0" b="0"/>
            <wp:docPr id="6" name="Figura3" descr="Figura 4 Silhuetas médias das combinações de hiperparâmetros avaliadas. Linhas tracejadas indicam os dez maiores valores de silhueta média observ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 descr="Figura 4 Silhuetas médias das combinações de hiperparâmetros avaliadas. Linhas tracejadas indicam os dez maiores valores de silhueta média observados."/>
                    <pic:cNvPicPr>
                      <a:picLocks noChangeAspect="1" noChangeArrowheads="1"/>
                    </pic:cNvPicPr>
                  </pic:nvPicPr>
                  <pic:blipFill>
                    <a:blip r:embed="rId6"/>
                    <a:stretch>
                      <a:fillRect/>
                    </a:stretch>
                  </pic:blipFill>
                  <pic:spPr bwMode="auto">
                    <a:xfrm>
                      <a:off x="0" y="0"/>
                      <a:ext cx="5777230" cy="5777230"/>
                    </a:xfrm>
                    <a:prstGeom prst="rect">
                      <a:avLst/>
                    </a:prstGeom>
                  </pic:spPr>
                </pic:pic>
              </a:graphicData>
            </a:graphic>
          </wp:inline>
        </w:drawing>
      </w:r>
    </w:p>
    <w:p>
      <w:pPr>
        <w:pStyle w:val="ImageCaption"/>
        <w:rPr>
          <w:lang w:val="pt-BR" w:eastAsia="en-US" w:bidi="ar-SA"/>
        </w:rPr>
      </w:pPr>
      <w:r>
        <w:rPr>
          <w:b/>
          <w:bCs/>
          <w:lang w:val="pt-BR" w:eastAsia="en-US" w:bidi="ar-SA"/>
        </w:rPr>
        <w:t>Figura 4</w:t>
      </w:r>
      <w:r>
        <w:rPr>
          <w:lang w:val="pt-BR" w:eastAsia="en-US" w:bidi="ar-SA"/>
        </w:rPr>
        <w:t xml:space="preserve"> Silhuetas médias das combinações de hiperparâmetros avaliadas. Linhas tracejadas indicam os dez maiores valores de silhueta média observados.</w:t>
      </w:r>
      <w:bookmarkStart w:id="20" w:name="espaço-de-hiperparâmetros"/>
      <w:bookmarkEnd w:id="20"/>
    </w:p>
    <w:p>
      <w:pPr>
        <w:pStyle w:val="Ttulo2"/>
        <w:rPr>
          <w:lang w:val="pt-BR" w:eastAsia="en-US" w:bidi="ar-SA"/>
        </w:rPr>
      </w:pPr>
      <w:bookmarkStart w:id="21" w:name="__RefHeading___Toc2485_4135361525"/>
      <w:bookmarkEnd w:id="21"/>
      <w:r>
        <w:rPr>
          <w:lang w:val="pt-BR" w:eastAsia="en-US" w:bidi="ar-SA"/>
        </w:rPr>
        <w:t>Silhuetas das soluções ótimas</w:t>
      </w:r>
    </w:p>
    <w:p>
      <w:pPr>
        <w:pStyle w:val="FirstParagraph"/>
        <w:rPr>
          <w:lang w:val="pt-BR" w:eastAsia="en-US" w:bidi="ar-SA"/>
        </w:rPr>
      </w:pPr>
      <w:r>
        <w:rPr>
          <w:lang w:val="pt-BR" w:eastAsia="en-US" w:bidi="ar-SA"/>
        </w:rPr>
        <w:t>De acordo com os critérios de exclusão especificados no plano analítico (</w:t>
      </w:r>
      <w:r>
        <w:rPr>
          <w:b/>
          <w:bCs/>
          <w:lang w:val="pt-BR" w:eastAsia="en-US" w:bidi="ar-SA"/>
        </w:rPr>
        <w:t>SAP-2021-017-JG-v01</w:t>
      </w:r>
      <w:r>
        <w:rPr>
          <w:lang w:val="pt-BR" w:eastAsia="en-US" w:bidi="ar-SA"/>
        </w:rPr>
        <w:t>) os métodos de ligação da mediana e do centroide não são recomendados pois podem gerar inversões nas clusterizações hierárquicas.</w:t>
      </w:r>
    </w:p>
    <w:p>
      <w:pPr>
        <w:pStyle w:val="Corpodotexto"/>
        <w:rPr>
          <w:lang w:val="pt-BR" w:eastAsia="en-US" w:bidi="ar-SA"/>
        </w:rPr>
      </w:pPr>
      <w:r>
        <w:rPr>
          <w:lang w:val="pt-BR" w:eastAsia="en-US" w:bidi="ar-SA"/>
        </w:rPr>
        <w:t>O maior valor de silhueta foi observado com três conjuntos de hiperparâmetros. Duas destas combinações incluem métodos excluídos da avaliação (mediana e centroide). O terceiro conjunto é composto pela métrica “maximum”, o método de ligação “single” e k=2. Esta combinação de hiperparâmetros gera uma clusterização hierárquica com silhueta média 0.4614 (Figura 5). As silhuetas médias de cada cluster são, respectivamente 0.47 e 0. Este conjunto de hiperparâmetros gerou um cluster com um deputado, e como este resultado não atende ao objetivo estabelecido, esta combinação de hiperparâmetros foi rejeitada.</w:t>
      </w:r>
    </w:p>
    <w:p>
      <w:pPr>
        <w:pStyle w:val="CaptionedFigure"/>
        <w:rPr>
          <w:lang w:val="pt-BR" w:eastAsia="en-US" w:bidi="ar-SA"/>
        </w:rPr>
      </w:pPr>
      <w:r>
        <w:rPr>
          <w:lang w:val="pt-BR" w:eastAsia="en-US" w:bidi="ar-SA"/>
        </w:rPr>
        <w:drawing>
          <wp:inline distT="0" distB="0" distL="0" distR="0">
            <wp:extent cx="5048250" cy="4326255"/>
            <wp:effectExtent l="0" t="0" r="0" b="0"/>
            <wp:docPr id="7" name="Figura4" descr="Figura 5 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4" descr="Figura 5 caption."/>
                    <pic:cNvPicPr>
                      <a:picLocks noChangeAspect="1" noChangeArrowheads="1"/>
                    </pic:cNvPicPr>
                  </pic:nvPicPr>
                  <pic:blipFill>
                    <a:blip r:embed="rId7"/>
                    <a:stretch>
                      <a:fillRect/>
                    </a:stretch>
                  </pic:blipFill>
                  <pic:spPr bwMode="auto">
                    <a:xfrm>
                      <a:off x="0" y="0"/>
                      <a:ext cx="5048250" cy="4326255"/>
                    </a:xfrm>
                    <a:prstGeom prst="rect">
                      <a:avLst/>
                    </a:prstGeom>
                  </pic:spPr>
                </pic:pic>
              </a:graphicData>
            </a:graphic>
          </wp:inline>
        </w:drawing>
      </w:r>
    </w:p>
    <w:p>
      <w:pPr>
        <w:pStyle w:val="ImageCaption"/>
        <w:rPr>
          <w:lang w:val="pt-BR" w:eastAsia="en-US" w:bidi="ar-SA"/>
        </w:rPr>
      </w:pPr>
      <w:r>
        <w:rPr>
          <w:b/>
          <w:bCs/>
          <w:lang w:val="pt-BR" w:eastAsia="en-US" w:bidi="ar-SA"/>
        </w:rPr>
        <w:t>Figura 5</w:t>
      </w:r>
      <w:r>
        <w:rPr>
          <w:lang w:val="pt-BR" w:eastAsia="en-US" w:bidi="ar-SA"/>
        </w:rPr>
        <w:t xml:space="preserve"> Silhuetas do cluster hierárquico gerado com métrica “maximum”, o método de ligação “single” e k=2.</w:t>
      </w:r>
    </w:p>
    <w:p>
      <w:pPr>
        <w:pStyle w:val="Corpodotexto"/>
        <w:rPr>
          <w:lang w:val="pt-BR" w:eastAsia="en-US" w:bidi="ar-SA"/>
        </w:rPr>
      </w:pPr>
      <w:r>
        <w:rPr>
          <w:lang w:val="pt-BR" w:eastAsia="en-US" w:bidi="ar-SA"/>
        </w:rPr>
        <w:t>O segundo maior valor de silhueta média (0.4243) foi observado com dois conjuntos de hiperparâmetros. Ambas as combinações usaram a métrica de Minkowski com p=0.5, e k=10, diferindo apenas pelo método de ligação: um com ward.D e a outra com ward.D2. Optando assim pelo método de ligação ward.D2 (ver seção Observações) vemos as silhuetas da clusterização hierárquica gerada com este conjunto de hiperparâmetros na figura 6. Os tamanhos dos clusters gerados variaram entre 3 e 33 observações. As silhuetas médias dos clusters variaram entre 0.1526 e 0.7376. As silhuetas das observações individuais variaram entre -0.2507 e 0.8139.</w:t>
      </w:r>
    </w:p>
    <w:p>
      <w:pPr>
        <w:pStyle w:val="CaptionedFigure"/>
        <w:rPr>
          <w:lang w:val="pt-BR" w:eastAsia="en-US" w:bidi="ar-SA"/>
        </w:rPr>
      </w:pPr>
      <w:r>
        <w:rPr>
          <w:lang w:val="pt-BR" w:eastAsia="en-US" w:bidi="ar-SA"/>
        </w:rPr>
        <w:drawing>
          <wp:inline distT="0" distB="0" distL="0" distR="0">
            <wp:extent cx="5768340" cy="5048250"/>
            <wp:effectExtent l="0" t="0" r="0" b="0"/>
            <wp:docPr id="8" name="Figura5" descr="Figura 6 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5" descr="Figura 6 caption."/>
                    <pic:cNvPicPr>
                      <a:picLocks noChangeAspect="1" noChangeArrowheads="1"/>
                    </pic:cNvPicPr>
                  </pic:nvPicPr>
                  <pic:blipFill>
                    <a:blip r:embed="rId8"/>
                    <a:stretch>
                      <a:fillRect/>
                    </a:stretch>
                  </pic:blipFill>
                  <pic:spPr bwMode="auto">
                    <a:xfrm>
                      <a:off x="0" y="0"/>
                      <a:ext cx="5768340" cy="5048250"/>
                    </a:xfrm>
                    <a:prstGeom prst="rect">
                      <a:avLst/>
                    </a:prstGeom>
                  </pic:spPr>
                </pic:pic>
              </a:graphicData>
            </a:graphic>
          </wp:inline>
        </w:drawing>
      </w:r>
    </w:p>
    <w:p>
      <w:pPr>
        <w:pStyle w:val="ImageCaption"/>
        <w:rPr>
          <w:lang w:val="pt-BR" w:eastAsia="en-US" w:bidi="ar-SA"/>
        </w:rPr>
      </w:pPr>
      <w:r>
        <w:rPr>
          <w:b/>
          <w:bCs/>
          <w:lang w:val="pt-BR" w:eastAsia="en-US" w:bidi="ar-SA"/>
        </w:rPr>
        <w:t>Figura 6</w:t>
      </w:r>
      <w:r>
        <w:rPr>
          <w:lang w:val="pt-BR" w:eastAsia="en-US" w:bidi="ar-SA"/>
        </w:rPr>
        <w:t xml:space="preserve"> Silhuetas do cluster hierárquico gerado com métrica de Minkowski com p=0.5, o método de ligação de Ward e k=10.</w:t>
      </w:r>
      <w:bookmarkStart w:id="22" w:name="silhuetas-das-soluções-ótimas"/>
      <w:bookmarkStart w:id="23" w:name="resultados"/>
      <w:bookmarkEnd w:id="22"/>
      <w:bookmarkEnd w:id="23"/>
    </w:p>
    <w:p>
      <w:pPr>
        <w:pStyle w:val="Ttulo1"/>
        <w:rPr>
          <w:lang w:val="pt-BR" w:eastAsia="en-US" w:bidi="ar-SA"/>
        </w:rPr>
      </w:pPr>
      <w:bookmarkStart w:id="24" w:name="__RefHeading___Toc2487_4135361525"/>
      <w:bookmarkEnd w:id="24"/>
      <w:r>
        <w:rPr>
          <w:lang w:val="pt-BR" w:eastAsia="en-US" w:bidi="ar-SA"/>
        </w:rPr>
        <w:t>Observações e limitações</w:t>
      </w:r>
    </w:p>
    <w:p>
      <w:pPr>
        <w:pStyle w:val="FirstParagraph"/>
        <w:rPr/>
      </w:pPr>
      <w:r>
        <w:rPr>
          <w:lang w:val="pt-BR" w:eastAsia="en-US" w:bidi="ar-SA"/>
        </w:rPr>
        <w:t xml:space="preserve">O método de ligação ward.D era usado historicamente em versões anteriores da linguagem R e a documentação indica que o método ward.D2 é sugerido na literatura específica, além de ser a única opção em outra implementação (na função </w:t>
      </w:r>
      <w:r>
        <w:rPr>
          <w:rStyle w:val="VerbatimChar"/>
          <w:lang w:val="pt-BR" w:eastAsia="en-US" w:bidi="ar-SA"/>
        </w:rPr>
        <w:t>agnes</w:t>
      </w:r>
      <w:r>
        <w:rPr>
          <w:lang w:val="pt-BR" w:eastAsia="en-US" w:bidi="ar-SA"/>
        </w:rPr>
        <w:t xml:space="preserve"> do pacote </w:t>
      </w:r>
      <w:r>
        <w:rPr>
          <w:rStyle w:val="VerbatimChar"/>
          <w:lang w:val="pt-BR" w:eastAsia="en-US" w:bidi="ar-SA"/>
        </w:rPr>
        <w:t>cluster</w:t>
      </w:r>
      <w:r>
        <w:rPr>
          <w:lang w:val="pt-BR" w:eastAsia="en-US" w:bidi="ar-SA"/>
        </w:rPr>
        <w:t xml:space="preserve">). Por estes motivos, em caso de empate entre as duas versões do método de Ward, foi recomendado aqui o uso do método de ligação de Ward </w:t>
      </w:r>
      <w:r>
        <w:rPr>
          <w:rStyle w:val="VerbatimChar"/>
          <w:lang w:val="pt-BR" w:eastAsia="en-US" w:bidi="ar-SA"/>
        </w:rPr>
        <w:t>ward.D2</w:t>
      </w:r>
      <w:r>
        <w:rPr>
          <w:lang w:val="pt-BR" w:eastAsia="en-US" w:bidi="ar-SA"/>
        </w:rPr>
        <w:t>.</w:t>
      </w:r>
      <w:bookmarkStart w:id="25" w:name="observações-e-limitações"/>
      <w:bookmarkEnd w:id="25"/>
    </w:p>
    <w:p>
      <w:pPr>
        <w:pStyle w:val="Ttulo1"/>
        <w:rPr>
          <w:lang w:val="pt-BR" w:eastAsia="en-US" w:bidi="ar-SA"/>
        </w:rPr>
      </w:pPr>
      <w:bookmarkStart w:id="26" w:name="__RefHeading___Toc2489_4135361525"/>
      <w:bookmarkEnd w:id="26"/>
      <w:r>
        <w:rPr>
          <w:lang w:val="pt-BR" w:eastAsia="en-US" w:bidi="ar-SA"/>
        </w:rPr>
        <w:t>Conclusões</w:t>
      </w:r>
    </w:p>
    <w:p>
      <w:pPr>
        <w:pStyle w:val="FirstParagraph"/>
        <w:rPr>
          <w:lang w:val="pt-BR" w:eastAsia="en-US" w:bidi="ar-SA"/>
        </w:rPr>
      </w:pPr>
      <w:r>
        <w:rPr>
          <w:lang w:val="pt-BR" w:eastAsia="en-US" w:bidi="ar-SA"/>
        </w:rPr>
        <w:t>O maior valor de silhueta média foi observado com o conjunto de hiperparâmetros composto pela métrica “maximum”, o método de ligação “single” e k=2. Este conjunto de hiperparâmetros gerou um cluster com um deputado, e como este resultado não atende ao objetivo estabelecido, esta combinação de hiperparâmetros foi rejeitada.</w:t>
      </w:r>
    </w:p>
    <w:p>
      <w:pPr>
        <w:pStyle w:val="Corpodotexto"/>
        <w:rPr>
          <w:lang w:val="pt-BR" w:eastAsia="en-US" w:bidi="ar-SA"/>
        </w:rPr>
      </w:pPr>
      <w:r>
        <w:rPr>
          <w:lang w:val="pt-BR" w:eastAsia="en-US" w:bidi="ar-SA"/>
        </w:rPr>
        <w:t>O segundo maior valor de silhueta média válido foi observado com a métrica de Minkowski com p=0.5, o método de ligação de Ward e k=10. A silhueta média deste conjunto de hiperparâmetros foi 0.4243.</w:t>
      </w:r>
      <w:bookmarkStart w:id="27" w:name="conclusões"/>
      <w:bookmarkEnd w:id="27"/>
    </w:p>
    <w:p>
      <w:pPr>
        <w:pStyle w:val="Ttulo1"/>
        <w:rPr>
          <w:lang w:val="pt-BR" w:eastAsia="en-US" w:bidi="ar-SA"/>
        </w:rPr>
      </w:pPr>
      <w:bookmarkStart w:id="28" w:name="__RefHeading___Toc2491_4135361525"/>
      <w:bookmarkEnd w:id="28"/>
      <w:r>
        <w:rPr>
          <w:lang w:val="pt-BR" w:eastAsia="en-US" w:bidi="ar-SA"/>
        </w:rPr>
        <w:t>Referências</w:t>
      </w:r>
    </w:p>
    <w:p>
      <w:pPr>
        <w:pStyle w:val="Compact"/>
        <w:numPr>
          <w:ilvl w:val="0"/>
          <w:numId w:val="61"/>
        </w:numPr>
        <w:rPr>
          <w:lang w:val="pt-BR" w:eastAsia="en-US" w:bidi="ar-SA"/>
        </w:rPr>
      </w:pPr>
      <w:r>
        <w:rPr>
          <w:b/>
          <w:bCs/>
          <w:lang w:val="pt-BR" w:eastAsia="en-US" w:bidi="ar-SA"/>
        </w:rPr>
        <w:t>SAP-2021-017-JG-v01</w:t>
      </w:r>
      <w:r>
        <w:rPr>
          <w:lang w:val="pt-BR" w:eastAsia="en-US" w:bidi="ar-SA"/>
        </w:rPr>
        <w:t xml:space="preserve"> – Plano Analítico para Otimização de hiperparâmetros de clusterização hierárquica para identificação de deputados evangélicos de corporações pentecostais eleitos em 2018</w:t>
      </w:r>
    </w:p>
    <w:p>
      <w:pPr>
        <w:pStyle w:val="Compact"/>
        <w:numPr>
          <w:ilvl w:val="0"/>
          <w:numId w:val="62"/>
        </w:numPr>
        <w:rPr>
          <w:lang w:val="pt-BR" w:eastAsia="en-US" w:bidi="ar-SA"/>
        </w:rPr>
      </w:pPr>
      <w:r>
        <w:rPr>
          <w:b/>
          <w:bCs/>
          <w:lang w:val="pt-BR" w:eastAsia="en-US" w:bidi="ar-SA"/>
        </w:rPr>
        <w:t>SAR-2021-011-JG-v01</w:t>
      </w:r>
      <w:r>
        <w:rPr>
          <w:lang w:val="pt-BR" w:eastAsia="en-US" w:bidi="ar-SA"/>
        </w:rPr>
        <w:t xml:space="preserve"> – Clusterização hierárquica para determinação do número ótimo de clusters de deputados federais evangélicos eleitos em 2018</w:t>
      </w:r>
      <w:bookmarkStart w:id="29" w:name="referências"/>
      <w:bookmarkEnd w:id="29"/>
    </w:p>
    <w:p>
      <w:pPr>
        <w:pStyle w:val="Ttulo1"/>
        <w:rPr>
          <w:lang w:val="pt-BR" w:eastAsia="en-US" w:bidi="ar-SA"/>
        </w:rPr>
      </w:pPr>
      <w:bookmarkStart w:id="30" w:name="__RefHeading___Toc2493_4135361525"/>
      <w:bookmarkEnd w:id="30"/>
      <w:r>
        <w:rPr>
          <w:lang w:val="pt-BR" w:eastAsia="en-US" w:bidi="ar-SA"/>
        </w:rPr>
        <w:t>Apêndice</w:t>
      </w:r>
      <w:bookmarkStart w:id="31" w:name="análise-exploratória-de-dados"/>
      <w:bookmarkEnd w:id="31"/>
    </w:p>
    <w:p>
      <w:pPr>
        <w:pStyle w:val="Ttulo2"/>
        <w:rPr>
          <w:lang w:val="pt-BR" w:eastAsia="en-US" w:bidi="ar-SA"/>
        </w:rPr>
      </w:pPr>
      <w:bookmarkStart w:id="32" w:name="__RefHeading___Toc2497_4135361525"/>
      <w:bookmarkEnd w:id="32"/>
      <w:r>
        <w:rPr>
          <w:lang w:val="pt-BR" w:eastAsia="en-US" w:bidi="ar-SA"/>
        </w:rPr>
        <w:t>Disponibilidade</w:t>
      </w:r>
    </w:p>
    <w:p>
      <w:pPr>
        <w:pStyle w:val="FirstParagraph"/>
        <w:rPr>
          <w:lang w:val="pt-BR" w:eastAsia="en-US" w:bidi="ar-SA"/>
        </w:rPr>
      </w:pPr>
      <w:r>
        <w:rPr>
          <w:lang w:val="pt-BR" w:eastAsia="en-US" w:bidi="ar-SA"/>
        </w:rPr>
        <w:t>Tanto este documento como o plano analítico correspondente (</w:t>
      </w:r>
      <w:r>
        <w:rPr>
          <w:b/>
          <w:bCs/>
          <w:lang w:val="pt-BR" w:eastAsia="en-US" w:bidi="ar-SA"/>
        </w:rPr>
        <w:t>SAP-2021-017-JG-v01</w:t>
      </w:r>
      <w:r>
        <w:rPr>
          <w:lang w:val="pt-BR" w:eastAsia="en-US" w:bidi="ar-SA"/>
        </w:rPr>
        <w:t>) podem ser obtidos no seguinte endereço:</w:t>
      </w:r>
    </w:p>
    <w:p>
      <w:pPr>
        <w:pStyle w:val="Corpodotexto"/>
        <w:rPr/>
      </w:pPr>
      <w:hyperlink r:id="rId9">
        <w:r>
          <w:rPr>
            <w:rStyle w:val="LinkdaInternet"/>
            <w:lang w:val="pt-BR" w:eastAsia="en-US" w:bidi="ar-SA"/>
          </w:rPr>
          <w:t>https://philsf-biostat.github.io/SAR-2021-017-JG/</w:t>
        </w:r>
      </w:hyperlink>
      <w:bookmarkStart w:id="33" w:name="disponibilidade"/>
      <w:bookmarkEnd w:id="33"/>
    </w:p>
    <w:p>
      <w:pPr>
        <w:pStyle w:val="Ttulo2"/>
        <w:rPr>
          <w:lang w:val="pt-BR" w:eastAsia="en-US" w:bidi="ar-SA"/>
        </w:rPr>
      </w:pPr>
      <w:bookmarkStart w:id="34" w:name="__RefHeading___Toc2499_4135361525"/>
      <w:bookmarkEnd w:id="34"/>
      <w:r>
        <w:rPr>
          <w:lang w:val="pt-BR" w:eastAsia="en-US" w:bidi="ar-SA"/>
        </w:rPr>
        <w:t>Dados utilizados</w:t>
      </w:r>
    </w:p>
    <w:p>
      <w:pPr>
        <w:pStyle w:val="FirstParagraph"/>
        <w:rPr>
          <w:lang w:val="pt-BR" w:eastAsia="en-US" w:bidi="ar-SA"/>
        </w:rPr>
      </w:pPr>
      <w:r>
        <w:rPr>
          <w:lang w:val="pt-BR" w:eastAsia="en-US" w:bidi="ar-SA"/>
        </w:rPr>
        <w:t>Os dados utilizados neste relatório não podem ser publicados online por questões de sigilo.</w:t>
      </w:r>
    </w:p>
    <w:p>
      <w:pPr>
        <w:pStyle w:val="TableCaption"/>
        <w:rPr>
          <w:lang w:val="pt-BR" w:eastAsia="en-US" w:bidi="ar-SA"/>
        </w:rPr>
      </w:pPr>
      <w:r>
        <w:rPr>
          <w:b/>
          <w:bCs/>
          <w:lang w:val="pt-BR" w:eastAsia="en-US" w:bidi="ar-SA"/>
        </w:rPr>
        <w:t>Tabela A1</w:t>
      </w:r>
      <w:r>
        <w:rPr>
          <w:lang w:val="pt-BR" w:eastAsia="en-US" w:bidi="ar-SA"/>
        </w:rPr>
        <w:t xml:space="preserve"> Estrutura da tabela de dados analíticos</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401"/>
        <w:gridCol w:w="1461"/>
        <w:gridCol w:w="1052"/>
        <w:gridCol w:w="1296"/>
        <w:gridCol w:w="892"/>
        <w:gridCol w:w="1134"/>
        <w:gridCol w:w="728"/>
        <w:gridCol w:w="1296"/>
        <w:gridCol w:w="1377"/>
      </w:tblGrid>
      <w:tr>
        <w:trPr/>
        <w:tc>
          <w:tcPr>
            <w:tcW w:w="40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id</w:t>
            </w:r>
          </w:p>
        </w:tc>
        <w:tc>
          <w:tcPr>
            <w:tcW w:w="146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corp_pentecostal</w:t>
            </w:r>
          </w:p>
        </w:tc>
        <w:tc>
          <w:tcPr>
            <w:tcW w:w="105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receita_agp</w:t>
            </w:r>
          </w:p>
        </w:tc>
        <w:tc>
          <w:tcPr>
            <w:tcW w:w="129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receita_outras</w:t>
            </w:r>
          </w:p>
        </w:tc>
        <w:tc>
          <w:tcPr>
            <w:tcW w:w="89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num_votos</w:t>
            </w:r>
          </w:p>
        </w:tc>
        <w:tc>
          <w:tcPr>
            <w:tcW w:w="113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capilaridade</w:t>
            </w:r>
          </w:p>
        </w:tc>
        <w:tc>
          <w:tcPr>
            <w:tcW w:w="72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posicao</w:t>
            </w:r>
          </w:p>
        </w:tc>
        <w:tc>
          <w:tcPr>
            <w:tcW w:w="129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decil_filiados</w:t>
            </w:r>
          </w:p>
        </w:tc>
        <w:tc>
          <w:tcPr>
            <w:tcW w:w="1377"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decil_deputados</w:t>
            </w:r>
          </w:p>
        </w:tc>
      </w:tr>
      <w:tr>
        <w:trPr/>
        <w:tc>
          <w:tcPr>
            <w:tcW w:w="4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t>1</w:t>
            </w:r>
          </w:p>
        </w:tc>
        <w:tc>
          <w:tcPr>
            <w:tcW w:w="146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05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9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9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13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72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9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3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r>
      <w:tr>
        <w:trPr/>
        <w:tc>
          <w:tcPr>
            <w:tcW w:w="4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t>2</w:t>
            </w:r>
          </w:p>
        </w:tc>
        <w:tc>
          <w:tcPr>
            <w:tcW w:w="146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05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9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9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13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72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9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3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r>
      <w:tr>
        <w:trPr/>
        <w:tc>
          <w:tcPr>
            <w:tcW w:w="4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t>3</w:t>
            </w:r>
          </w:p>
        </w:tc>
        <w:tc>
          <w:tcPr>
            <w:tcW w:w="146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05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9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9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13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72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9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3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r>
      <w:tr>
        <w:trPr/>
        <w:tc>
          <w:tcPr>
            <w:tcW w:w="4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t>…</w:t>
            </w:r>
          </w:p>
        </w:tc>
        <w:tc>
          <w:tcPr>
            <w:tcW w:w="146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05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9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9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13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72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9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3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r>
      <w:tr>
        <w:trPr/>
        <w:tc>
          <w:tcPr>
            <w:tcW w:w="4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t>116</w:t>
            </w:r>
          </w:p>
        </w:tc>
        <w:tc>
          <w:tcPr>
            <w:tcW w:w="146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05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9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9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13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72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9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3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bookmarkStart w:id="35" w:name="dados-utilizados"/>
            <w:bookmarkStart w:id="36" w:name="dados-utilizados"/>
            <w:bookmarkEnd w:id="36"/>
          </w:p>
        </w:tc>
      </w:tr>
    </w:tbl>
    <w:p>
      <w:pPr>
        <w:pStyle w:val="Normal"/>
        <w:spacing w:before="0" w:after="200"/>
        <w:rPr>
          <w:lang w:val="pt-BR" w:eastAsia="en-US" w:bidi="ar-SA"/>
        </w:rPr>
      </w:pPr>
      <w:r>
        <w:rPr>
          <w:lang w:val="pt-BR" w:eastAsia="en-US" w:bidi="ar-SA"/>
        </w:rPr>
      </w:r>
    </w:p>
    <w:sectPr>
      <w:headerReference w:type="default" r:id="rId10"/>
      <w:footerReference w:type="default" r:id="rId11"/>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7910" cy="36830"/>
              <wp:effectExtent l="0" t="0" r="0" b="0"/>
              <wp:docPr id="10" name="Forma4"/>
              <a:graphic xmlns:a="http://schemas.openxmlformats.org/drawingml/2006/main">
                <a:graphicData uri="http://schemas.microsoft.com/office/word/2010/wordprocessingShape">
                  <wps:wsp>
                    <wps:cNvSpPr/>
                    <wps:spPr>
                      <a:xfrm>
                        <a:off x="0" y="0"/>
                        <a:ext cx="6137280" cy="3636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4" path="m0,0l-2147483645,0l-2147483645,-2147483646l0,-2147483646xe" fillcolor="white" stroked="t" o:allowincell="f" style="position:absolute;margin-left:0pt;margin-top:-2.9pt;width:483.2pt;height:2.8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2"/>
      <w:gridCol w:w="637"/>
      <w:gridCol w:w="183"/>
      <w:gridCol w:w="1059"/>
    </w:tblGrid>
    <w:tr>
      <w:trPr/>
      <w:tc>
        <w:tcPr>
          <w:tcW w:w="4540" w:type="dxa"/>
          <w:tcBorders/>
          <w:vAlign w:val="center"/>
        </w:tcPr>
        <w:p>
          <w:pPr>
            <w:pStyle w:val="CabealhoeRodap"/>
            <w:widowControl w:val="false"/>
            <w:spacing w:before="57" w:after="85"/>
            <w:ind w:left="0" w:right="0" w:hanging="0"/>
            <w:jc w:val="center"/>
            <w:rPr>
              <w:rFonts w:eastAsia="Cambria" w:cs=""/>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eastAsia="Cambria" w:cs=""/>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pt-BR" w:eastAsia="en-US" w:bidi="ar-SA"/>
            </w:rPr>
          </w:pPr>
          <w:r>
            <w:rPr>
              <w:lang w:val="pt-BR" w:eastAsia="en-US" w:bidi="ar-SA"/>
            </w:rPr>
          </w:r>
        </w:p>
      </w:tc>
      <w:tc>
        <w:tcPr>
          <w:tcW w:w="1633" w:type="dxa"/>
          <w:tcBorders/>
          <w:vAlign w:val="center"/>
        </w:tcPr>
        <w:p>
          <w:pPr>
            <w:pStyle w:val="Textoprformatado"/>
            <w:widowControl w:val="false"/>
            <w:jc w:val="center"/>
            <w:rPr>
              <w:b/>
              <w:b/>
              <w:bCs/>
              <w:lang w:val="pt-BR" w:eastAsia="en-US" w:bidi="ar-SA"/>
            </w:rPr>
          </w:pPr>
          <w:r>
            <w:rPr>
              <w:b/>
              <w:bCs/>
              <w:lang w:val="pt-BR" w:eastAsia="en-US" w:bidi="ar-SA"/>
            </w:rPr>
            <w:t>SA</w:t>
          </w:r>
          <w:r>
            <w:rPr>
              <w:rFonts w:eastAsia="Liberation Mono" w:cs="Liberation Mono"/>
              <w:b/>
              <w:bCs/>
              <w:color w:val="auto"/>
              <w:kern w:val="0"/>
              <w:sz w:val="24"/>
              <w:szCs w:val="20"/>
              <w:lang w:val="pt-BR"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pt-BR" w:eastAsia="en-US" w:bidi="ar-SA"/>
            </w:rPr>
          </w:pPr>
          <w:r>
            <w:rPr>
              <w:rFonts w:eastAsia="Cambria" w:cs="" w:cstheme="minorBidi" w:eastAsiaTheme="minorHAnsi" w:ascii="Arial" w:hAnsi="Arial"/>
              <w:b/>
              <w:bCs/>
              <w:color w:val="auto"/>
              <w:kern w:val="0"/>
              <w:sz w:val="20"/>
              <w:szCs w:val="24"/>
              <w:lang w:val="pt-BR"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Versão</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pt-BR" w:eastAsia="en-US" w:bidi="ar-SA"/>
            </w:rPr>
          </w:pPr>
          <w:r>
            <w:rPr>
              <w:rFonts w:eastAsia="Cambria" w:cs="" w:cstheme="minorBidi" w:eastAsiaTheme="minorHAnsi" w:ascii="Arial" w:hAnsi="Arial"/>
              <w:b w:val="false"/>
              <w:bCs w:val="false"/>
              <w:color w:val="auto"/>
              <w:kern w:val="0"/>
              <w:sz w:val="20"/>
              <w:szCs w:val="24"/>
              <w:lang w:val="pt-BR" w:eastAsia="en-US" w:bidi="ar-SA"/>
            </w:rPr>
          </w:r>
        </w:p>
        <w:p>
          <w:pPr>
            <w:pStyle w:val="Textoprformatado"/>
            <w:widowControl w:val="false"/>
            <w:jc w:val="center"/>
            <w:rPr>
              <w:lang w:val="pt-BR" w:eastAsia="en-US" w:bidi="ar-SA"/>
            </w:rPr>
          </w:pPr>
          <w:r>
            <w:rPr>
              <w:lang w:val="pt-BR" w:eastAsia="en-US" w:bidi="ar-SA"/>
            </w:rPr>
            <w:t>1</w:t>
          </w:r>
        </w:p>
      </w:tc>
      <w:tc>
        <w:tcPr>
          <w:tcW w:w="202" w:type="dxa"/>
          <w:tcBorders/>
          <w:vAlign w:val="center"/>
        </w:tcPr>
        <w:p>
          <w:pPr>
            <w:pStyle w:val="CabealhoeRodap"/>
            <w:widowControl w:val="false"/>
            <w:jc w:val="center"/>
            <w:rPr>
              <w:lang w:val="pt-BR" w:eastAsia="en-US" w:bidi="ar-SA"/>
            </w:rPr>
          </w:pPr>
          <w:r>
            <w:rPr>
              <w:lang w:val="pt-BR" w:eastAsia="en-US" w:bidi="ar-SA"/>
            </w:rPr>
          </w:r>
        </w:p>
      </w:tc>
      <w:tc>
        <w:tcPr>
          <w:tcW w:w="637"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Ano</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fldChar w:fldCharType="begin"/>
          </w:r>
          <w:r>
            <w:rPr/>
            <w:instrText> DATE \@"yyyy" </w:instrText>
          </w:r>
          <w:r>
            <w:rPr/>
            <w:fldChar w:fldCharType="separate"/>
          </w:r>
          <w:r>
            <w:rPr/>
            <w:t>2021</w:t>
          </w:r>
          <w:r>
            <w:rPr/>
            <w:fldChar w:fldCharType="end"/>
          </w:r>
        </w:p>
      </w:tc>
      <w:tc>
        <w:tcPr>
          <w:tcW w:w="183" w:type="dxa"/>
          <w:tcBorders/>
          <w:vAlign w:val="center"/>
        </w:tcPr>
        <w:p>
          <w:pPr>
            <w:pStyle w:val="CabealhoeRodap"/>
            <w:widowControl w:val="false"/>
            <w:jc w:val="center"/>
            <w:rPr>
              <w:b/>
              <w:b/>
              <w:bCs/>
              <w:lang w:val="pt-BR" w:eastAsia="en-US" w:bidi="ar-SA"/>
            </w:rPr>
          </w:pPr>
          <w:r>
            <w:rPr>
              <w:b/>
              <w:bCs/>
              <w:lang w:val="pt-BR"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Página</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lang w:val="pt-BR" w:eastAsia="en-US" w:bidi="ar-SA"/>
            </w:rPr>
            <w:fldChar w:fldCharType="begin"/>
          </w:r>
          <w:r>
            <w:rPr>
              <w:lang w:val="pt-BR" w:eastAsia="en-US" w:bidi="ar-SA"/>
            </w:rPr>
            <w:instrText> PAGE </w:instrText>
          </w:r>
          <w:r>
            <w:rPr>
              <w:lang w:val="pt-BR" w:eastAsia="en-US" w:bidi="ar-SA"/>
            </w:rPr>
            <w:fldChar w:fldCharType="separate"/>
          </w:r>
          <w:r>
            <w:rPr>
              <w:lang w:val="pt-BR" w:eastAsia="en-US" w:bidi="ar-SA"/>
            </w:rPr>
            <w:t>9</w:t>
          </w:r>
          <w:r>
            <w:rPr>
              <w:lang w:val="pt-BR" w:eastAsia="en-US" w:bidi="ar-SA"/>
            </w:rPr>
            <w:fldChar w:fldCharType="end"/>
          </w:r>
          <w:r>
            <w:rPr>
              <w:lang w:val="pt-BR" w:eastAsia="en-US" w:bidi="ar-SA"/>
            </w:rPr>
            <w:t xml:space="preserve"> </w:t>
          </w:r>
          <w:r>
            <w:rPr>
              <w:lang w:val="pt-BR" w:eastAsia="en-US" w:bidi="ar-SA"/>
            </w:rPr>
            <w:t xml:space="preserve">/ </w:t>
          </w:r>
          <w:r>
            <w:rPr>
              <w:lang w:val="pt-BR" w:eastAsia="en-US" w:bidi="ar-SA"/>
            </w:rPr>
            <w:fldChar w:fldCharType="begin"/>
          </w:r>
          <w:r>
            <w:rPr>
              <w:lang w:val="pt-BR" w:eastAsia="en-US" w:bidi="ar-SA"/>
            </w:rPr>
            <w:instrText> NUMPAGES </w:instrText>
          </w:r>
          <w:r>
            <w:rPr>
              <w:lang w:val="pt-BR" w:eastAsia="en-US" w:bidi="ar-SA"/>
            </w:rPr>
            <w:fldChar w:fldCharType="separate"/>
          </w:r>
          <w:r>
            <w:rPr>
              <w:lang w:val="pt-BR" w:eastAsia="en-US" w:bidi="ar-SA"/>
            </w:rPr>
            <w:t>12</w:t>
          </w:r>
          <w:r>
            <w:rPr>
              <w:lang w:val="pt-BR"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Consultoria em Estatística Médica e Epidemiologia Clínica</w:t>
          </w:r>
        </w:p>
      </w:tc>
    </w:tr>
    <w:tr>
      <w:trPr/>
      <w:tc>
        <w:tcPr>
          <w:tcW w:w="9638" w:type="dxa"/>
          <w:tcBorders/>
          <w:vAlign w:val="center"/>
        </w:tcPr>
        <w:p>
          <w:pPr>
            <w:pStyle w:val="CabealhoeRodap"/>
            <w:widowControl w:val="false"/>
            <w:rPr>
              <w:lang w:val="pt-BR" w:eastAsia="en-US" w:bidi="ar-SA"/>
            </w:rPr>
          </w:pPr>
          <w:r>
            <w:rPr>
              <w:lang w:val="pt-BR" w:eastAsia="en-US" w:bidi="ar-SA"/>
            </w:rPr>
          </w:r>
        </w:p>
      </w:tc>
    </w:tr>
    <w:tr>
      <w:trPr/>
      <w:tc>
        <w:tcPr>
          <w:tcW w:w="9638" w:type="dxa"/>
          <w:tcBorders/>
          <w:vAlign w:val="center"/>
        </w:tcPr>
        <w:p>
          <w:pPr>
            <w:pStyle w:val="CabealhoeRodap"/>
            <w:widowControl w:val="false"/>
            <w:rPr>
              <w:b/>
              <w:b/>
              <w:bCs/>
              <w:lang w:val="pt-BR" w:eastAsia="en-US" w:bidi="ar-SA"/>
            </w:rPr>
          </w:pPr>
          <w:r>
            <w:rPr>
              <w:rFonts w:eastAsia="Cambria" w:cs="" w:cstheme="minorBidi" w:eastAsiaTheme="minorHAnsi"/>
              <w:b/>
              <w:bCs/>
              <w:color w:val="auto"/>
              <w:kern w:val="0"/>
              <w:sz w:val="20"/>
              <w:szCs w:val="24"/>
              <w:lang w:val="pt-BR" w:eastAsia="en-US" w:bidi="ar-SA"/>
            </w:rPr>
            <w:t xml:space="preserve">Relatório de Análise Estatística </w:t>
          </w:r>
          <w:r>
            <w:rPr>
              <w:b/>
              <w:bCs/>
              <w:lang w:val="pt-BR" w:eastAsia="en-US" w:bidi="ar-SA"/>
            </w:rPr>
            <w:t>(SA</w:t>
          </w:r>
          <w:r>
            <w:rPr>
              <w:rFonts w:eastAsia="Cambria" w:cs="" w:cstheme="minorBidi" w:eastAsiaTheme="minorHAnsi"/>
              <w:b/>
              <w:bCs/>
              <w:color w:val="auto"/>
              <w:kern w:val="0"/>
              <w:sz w:val="20"/>
              <w:szCs w:val="24"/>
              <w:lang w:val="pt-BR" w:eastAsia="en-US" w:bidi="ar-SA"/>
            </w:rPr>
            <w:t>R</w:t>
          </w:r>
          <w:r>
            <w:rPr>
              <w:b/>
              <w:bCs/>
              <w:lang w:val="pt-BR"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7910" cy="36830"/>
              <wp:effectExtent l="0" t="0" r="0" b="0"/>
              <wp:docPr id="9" name="Forma3"/>
              <a:graphic xmlns:a="http://schemas.openxmlformats.org/drawingml/2006/main">
                <a:graphicData uri="http://schemas.microsoft.com/office/word/2010/wordprocessingShape">
                  <wps:wsp>
                    <wps:cNvSpPr/>
                    <wps:spPr>
                      <a:xfrm>
                        <a:off x="0" y="0"/>
                        <a:ext cx="6137280" cy="3636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3" path="m0,0l-2147483645,0l-2147483645,-2147483646l0,-2147483646xe" fillcolor="white" stroked="t" o:allowincell="f" style="position:absolute;margin-left:0pt;margin-top:-2.9pt;width:483.2pt;height:2.8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 %1 "/>
      <w:lvlJc w:val="left"/>
      <w:pPr>
        <w:tabs>
          <w:tab w:val="num" w:pos="0"/>
        </w:tabs>
        <w:ind w:left="0" w:hanging="0"/>
      </w:pPr>
    </w:lvl>
    <w:lvl w:ilvl="1">
      <w:start w:val="1"/>
      <w:pStyle w:val="Ttulo2"/>
      <w:numFmt w:val="decimal"/>
      <w:lvlText w:val=" %1.%2 "/>
      <w:lvlJc w:val="left"/>
      <w:pPr>
        <w:tabs>
          <w:tab w:val="num" w:pos="0"/>
        </w:tabs>
        <w:ind w:left="0" w:hanging="0"/>
      </w:pPr>
    </w:lvl>
    <w:lvl w:ilvl="2">
      <w:start w:val="1"/>
      <w:pStyle w:val="Ttulo3"/>
      <w:numFmt w:val="decimal"/>
      <w:lvlText w:val=" %1.%2.%3 "/>
      <w:lvlJc w:val="left"/>
      <w:pPr>
        <w:tabs>
          <w:tab w:val="num" w:pos="0"/>
        </w:tabs>
        <w:ind w:left="0" w:hanging="0"/>
      </w:pPr>
    </w:lvl>
    <w:lvl w:ilvl="3">
      <w:start w:val="1"/>
      <w:pStyle w:val="Ttulo4"/>
      <w:numFmt w:val="decimal"/>
      <w:lvlText w:val=" %1.%2.%3.%4 "/>
      <w:lvlJc w:val="left"/>
      <w:pPr>
        <w:tabs>
          <w:tab w:val="num" w:pos="0"/>
        </w:tabs>
        <w:ind w:left="0" w:hanging="0"/>
      </w:pPr>
    </w:lvl>
    <w:lvl w:ilvl="4">
      <w:start w:val="1"/>
      <w:pStyle w:val="Ttulo5"/>
      <w:numFmt w:val="decimal"/>
      <w:lvlText w:val=" %1.%2.%3.%4.%5 "/>
      <w:lvlJc w:val="left"/>
      <w:pPr>
        <w:tabs>
          <w:tab w:val="num" w:pos="0"/>
        </w:tabs>
        <w:ind w:left="0" w:hanging="0"/>
      </w:pPr>
    </w:lvl>
    <w:lvl w:ilvl="5">
      <w:start w:val="1"/>
      <w:pStyle w:val="Ttulo6"/>
      <w:numFmt w:val="decimal"/>
      <w:lvlText w:val=" %1.%2.%3.%4.%5.%6 "/>
      <w:lvlJc w:val="left"/>
      <w:pPr>
        <w:tabs>
          <w:tab w:val="num" w:pos="0"/>
        </w:tabs>
        <w:ind w:left="0" w:hanging="0"/>
      </w:pPr>
    </w:lvl>
    <w:lvl w:ilvl="6">
      <w:start w:val="1"/>
      <w:pStyle w:val="Ttulo7"/>
      <w:numFmt w:val="decimal"/>
      <w:lvlText w:val=" %1.%2.%3.%4.%5.%6.%7 "/>
      <w:lvlJc w:val="left"/>
      <w:pPr>
        <w:tabs>
          <w:tab w:val="num" w:pos="0"/>
        </w:tabs>
        <w:ind w:left="0" w:hanging="0"/>
      </w:pPr>
    </w:lvl>
    <w:lvl w:ilvl="7">
      <w:start w:val="1"/>
      <w:pStyle w:val="Ttulo8"/>
      <w:numFmt w:val="decimal"/>
      <w:lvlText w:val=" %1.%2.%3.%4.%5.%6.%7.%8 "/>
      <w:lvlJc w:val="left"/>
      <w:pPr>
        <w:tabs>
          <w:tab w:val="num" w:pos="0"/>
        </w:tabs>
        <w:ind w:left="0" w:hanging="0"/>
      </w:pPr>
    </w:lvl>
    <w:lvl w:ilvl="8">
      <w:start w:val="1"/>
      <w:pStyle w:val="Ttulo9"/>
      <w:numFmt w:val="decimal"/>
      <w:lvlText w:val=" %1.%2.%3.%4.%5.%6.%7.%8.%9 "/>
      <w:lvlJc w:val="left"/>
      <w:pPr>
        <w:tabs>
          <w:tab w:val="num" w:pos="0"/>
        </w:tabs>
        <w:ind w:left="0" w:hanging="0"/>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Ttulo1">
    <w:name w:val="Heading 1"/>
    <w:basedOn w:val="Normal"/>
    <w:next w:val="Corpodotexto"/>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Ttulo2">
    <w:name w:val="Heading 2"/>
    <w:basedOn w:val="Normal"/>
    <w:next w:val="Corpodotexto"/>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Ttulo3">
    <w:name w:val="Heading 3"/>
    <w:basedOn w:val="Normal"/>
    <w:next w:val="Corpodotexto"/>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Ttulo4">
    <w:name w:val="Heading 4"/>
    <w:basedOn w:val="Normal"/>
    <w:next w:val="Corpodotexto"/>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Ttulo5">
    <w:name w:val="Heading 5"/>
    <w:basedOn w:val="Normal"/>
    <w:next w:val="Corpodotexto"/>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Ttulo6">
    <w:name w:val="Heading 6"/>
    <w:basedOn w:val="Normal"/>
    <w:next w:val="Corpodotexto"/>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Ttulo7">
    <w:name w:val="Heading 7"/>
    <w:basedOn w:val="Normal"/>
    <w:next w:val="Corpodotexto"/>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Ttulo8">
    <w:name w:val="Heading 8"/>
    <w:basedOn w:val="Normal"/>
    <w:next w:val="Corpodotexto"/>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Ttulo9">
    <w:name w:val="Heading 9"/>
    <w:basedOn w:val="Normal"/>
    <w:next w:val="Corpodotexto"/>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BodyTextChar"/>
    <w:qFormat/>
    <w:pPr>
      <w:spacing w:before="180" w:after="180"/>
    </w:pPr>
    <w:rPr>
      <w:rFonts w:ascii="Ubuntu" w:hAnsi="Ubuntu"/>
    </w:rPr>
  </w:style>
  <w:style w:type="paragraph" w:styleId="Lista">
    <w:name w:val="List"/>
    <w:basedOn w:val="Corpodotexto"/>
    <w:pPr/>
    <w:rPr>
      <w:rFonts w:cs="Lohit Devanagari"/>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0" w:after="0"/>
    </w:pPr>
    <w:rPr>
      <w:rFonts w:ascii="Ubuntu" w:hAnsi="Ubuntu"/>
    </w:rPr>
  </w:style>
  <w:style w:type="paragraph" w:styleId="Ttulododocumento">
    <w:name w:val="Title"/>
    <w:basedOn w:val="Normal"/>
    <w:next w:val="Corpodotexto"/>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tulo">
    <w:name w:val="Subtitle"/>
    <w:basedOn w:val="Ttulododocumento"/>
    <w:next w:val="Corpodotexto"/>
    <w:qFormat/>
    <w:pPr>
      <w:keepNext w:val="true"/>
      <w:keepLines/>
      <w:spacing w:before="240" w:after="240"/>
      <w:jc w:val="center"/>
    </w:pPr>
    <w:rPr>
      <w:rFonts w:ascii="Ubuntu" w:hAnsi="Ubuntu"/>
      <w:color w:val="000000"/>
      <w:sz w:val="20"/>
      <w:szCs w:val="30"/>
    </w:rPr>
  </w:style>
  <w:style w:type="paragraph" w:styleId="Author" w:customStyle="1">
    <w:name w:val="Author"/>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Corpodo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left="480" w:right="480" w:hanging="0"/>
    </w:pPr>
    <w:rPr/>
  </w:style>
  <w:style w:type="paragraph" w:styleId="Notaderodap">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OCHeading">
    <w:name w:val="TOC Heading"/>
    <w:basedOn w:val="Ttulodondicealfabtico"/>
    <w:next w:val="Corpodotexto"/>
    <w:uiPriority w:val="39"/>
    <w:unhideWhenUsed/>
    <w:qFormat/>
    <w:pPr>
      <w:numPr>
        <w:ilvl w:val="0"/>
        <w:numId w:val="0"/>
      </w:numPr>
      <w:suppressLineNumbers/>
      <w:ind w:left="0" w:hanging="0"/>
    </w:pPr>
    <w:rPr>
      <w:b/>
      <w:bCs/>
      <w:sz w:val="32"/>
      <w:szCs w:val="32"/>
    </w:rPr>
  </w:style>
  <w:style w:type="paragraph" w:styleId="Ttulodondicealfabtico">
    <w:name w:val="Index Heading"/>
    <w:basedOn w:val="Ttulo"/>
    <w:pPr>
      <w:suppressLineNumbers/>
      <w:ind w:left="0" w:hanging="0"/>
      <w:jc w:val="center"/>
    </w:pPr>
    <w:rPr>
      <w:rFonts w:ascii="Ubuntu" w:hAnsi="Ubuntu"/>
      <w:b/>
      <w:bCs/>
      <w:caps/>
      <w:sz w:val="32"/>
      <w:szCs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Ttulodondicealfabtico"/>
    <w:qFormat/>
    <w:pPr>
      <w:suppressLineNumbers/>
      <w:ind w:left="0" w:hanging="0"/>
    </w:pPr>
    <w:rPr>
      <w:b/>
      <w:bCs/>
      <w:sz w:val="32"/>
      <w:szCs w:val="32"/>
    </w:rPr>
  </w:style>
  <w:style w:type="paragraph" w:styleId="Sumrio1">
    <w:name w:val="TOC 1"/>
    <w:basedOn w:val="Ndice"/>
    <w:pPr>
      <w:tabs>
        <w:tab w:val="clear" w:pos="720"/>
        <w:tab w:val="right" w:pos="9360" w:leader="dot"/>
      </w:tabs>
      <w:spacing w:before="0" w:after="113"/>
      <w:ind w:left="0" w:hanging="0"/>
    </w:pPr>
    <w:rPr>
      <w:rFonts w:ascii="Ubuntu" w:hAnsi="Ubuntu"/>
      <w:caps/>
      <w:sz w:val="20"/>
    </w:rPr>
  </w:style>
  <w:style w:type="paragraph" w:styleId="Sumrio2">
    <w:name w:val="TOC 2"/>
    <w:basedOn w:val="Ndice"/>
    <w:pPr>
      <w:tabs>
        <w:tab w:val="clear" w:pos="720"/>
        <w:tab w:val="right" w:pos="9077" w:leader="dot"/>
      </w:tabs>
      <w:spacing w:before="0" w:after="113"/>
      <w:ind w:left="283" w:hanging="0"/>
    </w:pPr>
    <w:rPr>
      <w:rFonts w:ascii="Ubuntu" w:hAnsi="Ubuntu"/>
      <w:sz w:val="20"/>
    </w:rPr>
  </w:style>
  <w:style w:type="paragraph" w:styleId="Sumrio3">
    <w:name w:val="TOC 3"/>
    <w:basedOn w:val="Ndice"/>
    <w:pPr>
      <w:tabs>
        <w:tab w:val="clear" w:pos="720"/>
        <w:tab w:val="right" w:pos="8794" w:leader="dot"/>
      </w:tabs>
      <w:spacing w:before="0" w:after="113"/>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Rodap">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Cabealho">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Sumrio9">
    <w:name w:val="TOC 9"/>
    <w:basedOn w:val="Ndice"/>
    <w:pPr>
      <w:tabs>
        <w:tab w:val="clear" w:pos="720"/>
        <w:tab w:val="right" w:pos="7096" w:leader="dot"/>
      </w:tabs>
      <w:ind w:left="2264" w:hanging="0"/>
    </w:pPr>
    <w:rPr>
      <w:rFonts w:ascii="Ubuntu" w:hAnsi="Ubuntu"/>
      <w:sz w:val="20"/>
    </w:rPr>
  </w:style>
  <w:style w:type="paragraph" w:styleId="Sumrio8">
    <w:name w:val="TOC 8"/>
    <w:basedOn w:val="Ndice"/>
    <w:pPr>
      <w:tabs>
        <w:tab w:val="clear" w:pos="720"/>
        <w:tab w:val="right" w:pos="7379" w:leader="dot"/>
      </w:tabs>
      <w:ind w:left="1981" w:hanging="0"/>
    </w:pPr>
    <w:rPr>
      <w:rFonts w:ascii="Ubuntu" w:hAnsi="Ubuntu"/>
      <w:sz w:val="20"/>
    </w:rPr>
  </w:style>
  <w:style w:type="paragraph" w:styleId="Sumrio7">
    <w:name w:val="TOC 7"/>
    <w:basedOn w:val="Ndice"/>
    <w:pPr>
      <w:tabs>
        <w:tab w:val="clear" w:pos="720"/>
        <w:tab w:val="right" w:pos="7662" w:leader="dot"/>
      </w:tabs>
      <w:ind w:left="1698" w:hanging="0"/>
    </w:pPr>
    <w:rPr>
      <w:rFonts w:ascii="Ubuntu" w:hAnsi="Ubuntu"/>
      <w:sz w:val="20"/>
    </w:rPr>
  </w:style>
  <w:style w:type="paragraph" w:styleId="Sumrio6">
    <w:name w:val="TOC 6"/>
    <w:basedOn w:val="Ndice"/>
    <w:pPr>
      <w:tabs>
        <w:tab w:val="clear" w:pos="720"/>
        <w:tab w:val="right" w:pos="7945" w:leader="dot"/>
      </w:tabs>
      <w:ind w:left="1415" w:hanging="0"/>
    </w:pPr>
    <w:rPr>
      <w:rFonts w:ascii="Ubuntu" w:hAnsi="Ubuntu"/>
      <w:sz w:val="20"/>
    </w:rPr>
  </w:style>
  <w:style w:type="paragraph" w:styleId="Sumrio5">
    <w:name w:val="TOC 5"/>
    <w:basedOn w:val="Ndice"/>
    <w:pPr>
      <w:tabs>
        <w:tab w:val="clear" w:pos="720"/>
        <w:tab w:val="right" w:pos="8228" w:leader="dot"/>
      </w:tabs>
      <w:ind w:left="1132" w:hanging="0"/>
    </w:pPr>
    <w:rPr>
      <w:rFonts w:ascii="Ubuntu" w:hAnsi="Ubuntu"/>
      <w:sz w:val="20"/>
    </w:rPr>
  </w:style>
  <w:style w:type="paragraph" w:styleId="Sumrio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Corpodotexto"/>
    <w:qFormat/>
    <w:pPr>
      <w:spacing w:before="60" w:after="60"/>
      <w:outlineLvl w:val="8"/>
    </w:pPr>
    <w:rPr>
      <w:rFonts w:ascii="Ubuntu" w:hAnsi="Ubuntu"/>
      <w:b w:val="false"/>
      <w:bCs/>
      <w:sz w:val="21"/>
      <w:szCs w:val="21"/>
    </w:rPr>
  </w:style>
  <w:style w:type="paragraph" w:styleId="Ttulodondicedousurio">
    <w:name w:val="Título do índice do usuário"/>
    <w:basedOn w:val="Ttulodondicealfabtico"/>
    <w:qFormat/>
    <w:pPr>
      <w:suppressLineNumbers/>
      <w:ind w:left="0" w:hanging="0"/>
    </w:pPr>
    <w:rPr>
      <w:rFonts w:ascii="Ubuntu" w:hAnsi="Ubuntu"/>
      <w:b/>
      <w:bCs/>
      <w:caps/>
      <w:sz w:val="32"/>
      <w:szCs w:val="32"/>
    </w:rPr>
  </w:style>
  <w:style w:type="paragraph" w:styleId="Ttulodondicedetabelas">
    <w:name w:val="Título do índice de tabelas"/>
    <w:basedOn w:val="Ttulodondicealfabtico"/>
    <w:qFormat/>
    <w:pPr>
      <w:suppressLineNumbers/>
      <w:ind w:left="0" w:hanging="0"/>
    </w:pPr>
    <w:rPr>
      <w:rFonts w:ascii="Ubuntu" w:hAnsi="Ubuntu"/>
      <w:b/>
      <w:bCs/>
      <w:i w:val="false"/>
      <w:sz w:val="32"/>
      <w:szCs w:val="32"/>
    </w:rPr>
  </w:style>
  <w:style w:type="paragraph" w:styleId="Ttulodondicedeobjetos">
    <w:name w:val="Título do índice de objetos"/>
    <w:basedOn w:val="Ttulodondicealfabtico"/>
    <w:qFormat/>
    <w:pPr>
      <w:suppressLineNumbers/>
      <w:ind w:left="0" w:hanging="0"/>
    </w:pPr>
    <w:rPr>
      <w:rFonts w:ascii="Ubuntu" w:hAnsi="Ubuntu"/>
      <w:b/>
      <w:bCs/>
      <w:sz w:val="32"/>
      <w:szCs w:val="32"/>
    </w:rPr>
  </w:style>
  <w:style w:type="paragraph" w:styleId="Ttulodondicedefiguras">
    <w:name w:val="Título do índice de figuras"/>
    <w:basedOn w:val="Ttulodondicealfabtico"/>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Ttulodondicealfabtico"/>
    <w:qFormat/>
    <w:pPr>
      <w:suppressLineNumbers/>
      <w:ind w:left="0" w:hanging="0"/>
    </w:pPr>
    <w:rPr>
      <w:b/>
      <w:bCs/>
      <w:sz w:val="28"/>
      <w:szCs w:val="32"/>
    </w:rPr>
  </w:style>
  <w:style w:type="paragraph" w:styleId="Tabela">
    <w:name w:val="Tabela"/>
    <w:basedOn w:val="Legenda"/>
    <w:qFormat/>
    <w:pPr/>
    <w:rPr/>
  </w:style>
  <w:style w:type="paragraph" w:styleId="Closing">
    <w:name w:val="Closing"/>
    <w:basedOn w:val="Ttulo"/>
    <w:next w:val="Corpodotexto"/>
    <w:qFormat/>
    <w:pPr>
      <w:jc w:val="center"/>
    </w:pPr>
    <w:rPr>
      <w:rFonts w:ascii="Ubuntu" w:hAnsi="Ubuntu"/>
      <w:b/>
      <w:bCs/>
      <w:sz w:val="32"/>
      <w:szCs w:val="32"/>
    </w:rPr>
  </w:style>
  <w:style w:type="paragraph" w:styleId="Contedodoquadro">
    <w:name w:val="Conteúdo do quadro"/>
    <w:basedOn w:val="Normal"/>
    <w:qFormat/>
    <w:pPr/>
    <w:rPr/>
  </w:style>
  <w:style w:type="paragraph" w:styleId="Ttulodosumrio">
    <w:name w:val="TOC Heading"/>
    <w:basedOn w:val="Ttulodondicealfabtico"/>
    <w:pPr>
      <w:suppressLineNumbers/>
      <w:ind w:left="0" w:hanging="0"/>
    </w:pPr>
    <w:rPr>
      <w:b/>
      <w:bCs/>
      <w:sz w:val="32"/>
      <w:szCs w:val="32"/>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philsf-biostat/SAR-2021-017-JG/blob/main/figures/sil.csv"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philsf-biostat.github.io/SAR-2021-017-JG/"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Application>LibreOffice/7.2.2.2$Linux_X86_64 LibreOffice_project/20$Build-2</Application>
  <AppVersion>15.0000</AppVersion>
  <Pages>12</Pages>
  <Words>1819</Words>
  <Characters>10339</Characters>
  <CharactersWithSpaces>11981</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2021-11-19T08:59:23Z</dcterms:created>
  <dc:creator>De: Felipe Figueiredo Para: Josir Gomes</dc:creator>
  <dc:description/>
  <dc:language>pt-BR</dc:language>
  <cp:lastModifiedBy>Felipe Figueiredo</cp:lastModifiedBy>
  <dcterms:modified xsi:type="dcterms:W3CDTF">2021-11-19T06:16:59Z</dcterms:modified>
  <cp:revision>7</cp:revision>
  <dc:subject/>
  <dc:title>Otimização de hiperparâmetros de clusterização hierárquica para identificação de deputados evangélicos de corporações pentecostais eleitos em 2018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2021-11-18</vt:lpwstr>
  </property>
  <property fmtid="{D5CDD505-2E9C-101B-9397-08002B2CF9AE}" pid="3" name="output">
    <vt:lpwstr/>
  </property>
  <property fmtid="{D5CDD505-2E9C-101B-9397-08002B2CF9AE}" pid="4" name="subtitle">
    <vt:lpwstr>DOCUMENTO: SAR-2021-017-JG-v01</vt:lpwstr>
  </property>
  <property fmtid="{D5CDD505-2E9C-101B-9397-08002B2CF9AE}" pid="5" name="toc-title">
    <vt:lpwstr>Sumário</vt:lpwstr>
  </property>
</Properties>
</file>