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Análise de dados - Residência em Ortopedia de Alexandre Romano e Leandro Jardim (2018)</w:t>
      </w:r>
    </w:p>
    <w:p>
      <w:pPr>
        <w:pStyle w:val="Subtitle"/>
        <w:rPr/>
      </w:pPr>
      <w:r>
        <w:rPr/>
        <w:t>CÓDIGO: analise_dados_AL_2018-v01</w:t>
      </w:r>
    </w:p>
    <w:p>
      <w:pPr>
        <w:pStyle w:val="Author"/>
        <w:rPr/>
      </w:pPr>
      <w:r>
        <w:rPr>
          <w:b/>
        </w:rPr>
        <w:t>De:</w:t>
      </w:r>
      <w:r>
        <w:rPr/>
        <w:t xml:space="preserve"> Felipe Figueiredo </w:t>
      </w:r>
      <w:r>
        <w:rPr>
          <w:b/>
        </w:rPr>
        <w:t>Para:</w:t>
      </w:r>
      <w:r>
        <w:rPr/>
        <w:t xml:space="preserve"> Thiago Alberto Vivacqua</w:t>
      </w:r>
    </w:p>
    <w:p>
      <w:pPr>
        <w:pStyle w:val="Date"/>
        <w:rPr/>
      </w:pPr>
      <w:r>
        <w:rPr>
          <w:b/>
        </w:rPr>
        <w:t xml:space="preserve">Data: </w:t>
      </w:r>
      <w:r>
        <w:rPr/>
        <w:t xml:space="preserve"> 26/01/2018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Sumário</w:t>
          </w:r>
        </w:p>
        <w:p>
          <w:pPr>
            <w:pStyle w:val="Contents1"/>
            <w:tabs>
              <w:tab w:val="right" w:pos="9638" w:leader="dot"/>
            </w:tabs>
            <w:rPr/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_RefHeading___Toc752_1949040187">
            <w:r>
              <w:rPr>
                <w:webHidden/>
                <w:rStyle w:val="IndexLink"/>
              </w:rPr>
              <w:t>1. Lista de abreviaturas</w:t>
              <w:tab/>
              <w:t>1</w:t>
            </w:r>
          </w:hyperlink>
        </w:p>
        <w:p>
          <w:pPr>
            <w:pStyle w:val="Contents1"/>
            <w:tabs>
              <w:tab w:val="right" w:pos="9638" w:leader="dot"/>
            </w:tabs>
            <w:rPr/>
          </w:pPr>
          <w:hyperlink w:anchor="__RefHeading___Toc754_1949040187">
            <w:r>
              <w:rPr>
                <w:webHidden/>
                <w:rStyle w:val="IndexLink"/>
              </w:rPr>
              <w:t>2. Introdução</w:t>
              <w:tab/>
              <w:t>2</w:t>
            </w:r>
          </w:hyperlink>
        </w:p>
        <w:p>
          <w:pPr>
            <w:pStyle w:val="Contents2"/>
            <w:tabs>
              <w:tab w:val="right" w:pos="9638" w:leader="dot"/>
            </w:tabs>
            <w:rPr/>
          </w:pPr>
          <w:hyperlink w:anchor="__RefHeading___Toc756_1949040187">
            <w:r>
              <w:rPr>
                <w:webHidden/>
                <w:rStyle w:val="IndexLink"/>
              </w:rPr>
              <w:t>2.1. Objetivos</w:t>
              <w:tab/>
              <w:t>2</w:t>
            </w:r>
          </w:hyperlink>
        </w:p>
        <w:p>
          <w:pPr>
            <w:pStyle w:val="Contents2"/>
            <w:tabs>
              <w:tab w:val="right" w:pos="9638" w:leader="dot"/>
            </w:tabs>
            <w:rPr/>
          </w:pPr>
          <w:hyperlink w:anchor="__RefHeading___Toc758_1949040187">
            <w:r>
              <w:rPr>
                <w:webHidden/>
                <w:rStyle w:val="IndexLink"/>
              </w:rPr>
              <w:t>2.2. Recepção e tratamento dos dados</w:t>
              <w:tab/>
              <w:t>2</w:t>
            </w:r>
          </w:hyperlink>
        </w:p>
        <w:p>
          <w:pPr>
            <w:pStyle w:val="Contents1"/>
            <w:tabs>
              <w:tab w:val="right" w:pos="9638" w:leader="dot"/>
            </w:tabs>
            <w:rPr/>
          </w:pPr>
          <w:hyperlink w:anchor="__RefHeading___Toc760_1949040187">
            <w:r>
              <w:rPr>
                <w:webHidden/>
                <w:rStyle w:val="IndexLink"/>
              </w:rPr>
              <w:t>3. Metodologia</w:t>
              <w:tab/>
              <w:t>2</w:t>
            </w:r>
          </w:hyperlink>
        </w:p>
        <w:p>
          <w:pPr>
            <w:pStyle w:val="Contents1"/>
            <w:tabs>
              <w:tab w:val="right" w:pos="9638" w:leader="dot"/>
            </w:tabs>
            <w:rPr/>
          </w:pPr>
          <w:hyperlink w:anchor="__RefHeading___Toc762_1949040187">
            <w:r>
              <w:rPr>
                <w:webHidden/>
                <w:rStyle w:val="IndexLink"/>
              </w:rPr>
              <w:t>4. Resultados</w:t>
              <w:tab/>
              <w:t>2</w:t>
            </w:r>
          </w:hyperlink>
        </w:p>
        <w:p>
          <w:pPr>
            <w:pStyle w:val="Contents2"/>
            <w:tabs>
              <w:tab w:val="right" w:pos="9638" w:leader="dot"/>
            </w:tabs>
            <w:rPr/>
          </w:pPr>
          <w:hyperlink w:anchor="__RefHeading___Toc764_1949040187">
            <w:r>
              <w:rPr>
                <w:webHidden/>
                <w:rStyle w:val="IndexLink"/>
              </w:rPr>
              <w:t>4.1. Análise descritiva</w:t>
              <w:tab/>
              <w:t>2</w:t>
            </w:r>
          </w:hyperlink>
        </w:p>
        <w:p>
          <w:pPr>
            <w:pStyle w:val="Contents2"/>
            <w:tabs>
              <w:tab w:val="right" w:pos="9638" w:leader="dot"/>
            </w:tabs>
            <w:rPr/>
          </w:pPr>
          <w:hyperlink w:anchor="__RefHeading___Toc766_1949040187">
            <w:r>
              <w:rPr>
                <w:webHidden/>
                <w:rStyle w:val="IndexLink"/>
              </w:rPr>
              <w:t>4.2. Relação entre o diagnóstico por RM e artroscópico</w:t>
              <w:tab/>
              <w:t>3</w:t>
            </w:r>
          </w:hyperlink>
        </w:p>
        <w:p>
          <w:pPr>
            <w:pStyle w:val="Contents2"/>
            <w:tabs>
              <w:tab w:val="right" w:pos="9638" w:leader="dot"/>
            </w:tabs>
            <w:rPr/>
          </w:pPr>
          <w:hyperlink w:anchor="__RefHeading___Toc768_1949040187">
            <w:r>
              <w:rPr>
                <w:webHidden/>
                <w:rStyle w:val="IndexLink"/>
              </w:rPr>
              <w:t>4.3. Associação entre a localização da lesão e LCA</w:t>
              <w:tab/>
              <w:t>3</w:t>
            </w:r>
          </w:hyperlink>
        </w:p>
        <w:p>
          <w:pPr>
            <w:pStyle w:val="Contents2"/>
            <w:tabs>
              <w:tab w:val="right" w:pos="9638" w:leader="dot"/>
            </w:tabs>
            <w:rPr/>
          </w:pPr>
          <w:hyperlink w:anchor="__RefHeading___Toc770_1949040187">
            <w:r>
              <w:rPr>
                <w:webHidden/>
                <w:rStyle w:val="IndexLink"/>
              </w:rPr>
              <w:t>4.4. Incidência por gênero</w:t>
              <w:tab/>
              <w:t>4</w:t>
            </w:r>
          </w:hyperlink>
        </w:p>
        <w:p>
          <w:pPr>
            <w:pStyle w:val="Contents1"/>
            <w:tabs>
              <w:tab w:val="right" w:pos="9638" w:leader="dot"/>
            </w:tabs>
            <w:rPr/>
          </w:pPr>
          <w:hyperlink w:anchor="__RefHeading___Toc772_1949040187">
            <w:r>
              <w:rPr>
                <w:webHidden/>
                <w:rStyle w:val="IndexLink"/>
              </w:rPr>
              <w:t>5. Exceções e limitações do estudo</w:t>
              <w:tab/>
              <w:t>4</w:t>
            </w:r>
          </w:hyperlink>
        </w:p>
        <w:p>
          <w:pPr>
            <w:pStyle w:val="Contents1"/>
            <w:tabs>
              <w:tab w:val="right" w:pos="9638" w:leader="dot"/>
            </w:tabs>
            <w:rPr/>
          </w:pPr>
          <w:hyperlink w:anchor="__RefHeading___Toc774_1949040187">
            <w:r>
              <w:rPr>
                <w:webHidden/>
                <w:rStyle w:val="IndexLink"/>
              </w:rPr>
              <w:t>6. Conclusões</w:t>
              <w:tab/>
              <w:t>4</w:t>
            </w:r>
          </w:hyperlink>
        </w:p>
        <w:p>
          <w:pPr>
            <w:pStyle w:val="Contents1"/>
            <w:tabs>
              <w:tab w:val="right" w:pos="9638" w:leader="dot"/>
            </w:tabs>
            <w:rPr/>
          </w:pPr>
          <w:hyperlink w:anchor="__RefHeading___Toc776_1949040187">
            <w:r>
              <w:rPr>
                <w:webHidden/>
                <w:rStyle w:val="IndexLink"/>
              </w:rPr>
              <w:t>7. Referências</w:t>
              <w:tab/>
              <w:t>4</w:t>
            </w:r>
          </w:hyperlink>
        </w:p>
        <w:p>
          <w:pPr>
            <w:pStyle w:val="Contents1"/>
            <w:tabs>
              <w:tab w:val="right" w:pos="9638" w:leader="dot"/>
            </w:tabs>
            <w:rPr/>
          </w:pPr>
          <w:hyperlink w:anchor="__RefHeading___Toc778_1949040187">
            <w:r>
              <w:rPr>
                <w:webHidden/>
                <w:rStyle w:val="IndexLink"/>
              </w:rPr>
              <w:t>8. Apêndice</w:t>
              <w:tab/>
              <w:t>4</w:t>
            </w:r>
          </w:hyperlink>
        </w:p>
      </w:sdtContent>
    </w:sdt>
    <w:p>
      <w:pPr>
        <w:pStyle w:val="Normal"/>
        <w:rPr/>
      </w:pPr>
      <w:r>
        <w:rPr/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white" stroked="t" style="position:absolute;margin-left:0pt;margin-top:0pt;width:0pt;height:1.45pt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  <w:r>
        <w:fldChar w:fldCharType="end"/>
      </w:r>
    </w:p>
    <w:p>
      <w:pPr>
        <w:pStyle w:val="FirstParagraph"/>
        <w:rPr/>
      </w:pPr>
      <w:r>
        <w:rPr>
          <w:b/>
        </w:rPr>
        <w:t>Histórico do documento</w:t>
      </w:r>
    </w:p>
    <w:tbl>
      <w:tblPr>
        <w:tblStyle w:val="TableNormal"/>
        <w:tblW w:w="9638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firstRow="1"/>
      </w:tblPr>
      <w:tblGrid>
        <w:gridCol w:w="4818"/>
        <w:gridCol w:w="4819"/>
      </w:tblGrid>
      <w:tr>
        <w:trPr>
          <w:cnfStyle w:firstRow="1"/>
        </w:trPr>
        <w:tc>
          <w:tcPr>
            <w:tcW w:w="4818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7" w:type="dxa"/>
            </w:tcMar>
            <w:vAlign w:val="bottom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Versão</w:t>
            </w:r>
          </w:p>
        </w:tc>
        <w:tc>
          <w:tcPr>
            <w:tcW w:w="4819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7" w:type="dxa"/>
            </w:tcMar>
            <w:vAlign w:val="bottom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Alterações</w:t>
            </w:r>
          </w:p>
        </w:tc>
      </w:tr>
      <w:tr>
        <w:trPr/>
        <w:tc>
          <w:tcPr>
            <w:tcW w:w="4818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01</w:t>
            </w:r>
          </w:p>
        </w:tc>
        <w:tc>
          <w:tcPr>
            <w:tcW w:w="4819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Versão inicial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white" stroked="t" style="position:absolute;margin-left:0pt;margin-top:0pt;width:0pt;height:1.45pt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</w:p>
    <w:p>
      <w:pPr>
        <w:pStyle w:val="Heading1"/>
        <w:numPr>
          <w:ilvl w:val="0"/>
          <w:numId w:val="2"/>
        </w:numPr>
        <w:rPr/>
      </w:pPr>
      <w:bookmarkStart w:id="0" w:name="__RefHeading___Toc752_1949040187"/>
      <w:bookmarkStart w:id="1" w:name="lista-de-abreviaturas"/>
      <w:bookmarkEnd w:id="0"/>
      <w:bookmarkEnd w:id="1"/>
      <w:r>
        <w:rPr/>
        <w:t>Lista de abreviaturas</w:t>
      </w:r>
    </w:p>
    <w:p>
      <w:pPr>
        <w:pStyle w:val="Compact"/>
        <w:numPr>
          <w:ilvl w:val="0"/>
          <w:numId w:val="3"/>
        </w:numPr>
        <w:spacing w:before="0" w:after="0"/>
        <w:rPr/>
      </w:pPr>
      <w:r>
        <w:rPr/>
        <w:t>IC - Intervalo de Confiança de 95%</w:t>
      </w:r>
    </w:p>
    <w:p>
      <w:pPr>
        <w:pStyle w:val="Compact"/>
        <w:numPr>
          <w:ilvl w:val="0"/>
          <w:numId w:val="3"/>
        </w:numPr>
        <w:spacing w:before="0" w:after="0"/>
        <w:rPr/>
      </w:pPr>
      <w:r>
        <w:rPr/>
        <w:t>LCA - Ligamento Cruzado Anterior</w:t>
      </w:r>
    </w:p>
    <w:p>
      <w:pPr>
        <w:pStyle w:val="Compact"/>
        <w:numPr>
          <w:ilvl w:val="0"/>
          <w:numId w:val="3"/>
        </w:numPr>
        <w:spacing w:before="0" w:after="0"/>
        <w:rPr/>
      </w:pPr>
      <w:r>
        <w:rPr/>
        <w:t>OR - Razão de Chances (</w:t>
      </w:r>
      <w:r>
        <w:rPr>
          <w:i/>
        </w:rPr>
        <w:t>odds ratio</w:t>
      </w:r>
      <w:r>
        <w:rPr/>
        <w:t>)</w:t>
      </w:r>
    </w:p>
    <w:p>
      <w:pPr>
        <w:pStyle w:val="Compact"/>
        <w:numPr>
          <w:ilvl w:val="0"/>
          <w:numId w:val="3"/>
        </w:numPr>
        <w:rPr/>
      </w:pPr>
      <w:r>
        <w:rPr/>
        <w:t>RM - Ressonância magnética</w:t>
      </w:r>
    </w:p>
    <w:p>
      <w:pPr>
        <w:pStyle w:val="Heading1"/>
        <w:numPr>
          <w:ilvl w:val="0"/>
          <w:numId w:val="2"/>
        </w:numPr>
        <w:rPr/>
      </w:pPr>
      <w:bookmarkStart w:id="2" w:name="__RefHeading___Toc754_1949040187"/>
      <w:bookmarkStart w:id="3" w:name="introducao"/>
      <w:bookmarkEnd w:id="2"/>
      <w:bookmarkEnd w:id="3"/>
      <w:r>
        <w:rPr/>
        <w:t>Introdução</w:t>
      </w:r>
    </w:p>
    <w:p>
      <w:pPr>
        <w:pStyle w:val="Heading2"/>
        <w:numPr>
          <w:ilvl w:val="1"/>
          <w:numId w:val="2"/>
        </w:numPr>
        <w:rPr/>
      </w:pPr>
      <w:bookmarkStart w:id="4" w:name="__RefHeading___Toc756_1949040187"/>
      <w:bookmarkStart w:id="5" w:name="objetivos"/>
      <w:bookmarkEnd w:id="4"/>
      <w:bookmarkEnd w:id="5"/>
      <w:r>
        <w:rPr/>
        <w:t>Objetivos</w:t>
      </w:r>
    </w:p>
    <w:p>
      <w:pPr>
        <w:pStyle w:val="Compact"/>
        <w:numPr>
          <w:ilvl w:val="0"/>
          <w:numId w:val="4"/>
        </w:numPr>
        <w:spacing w:before="0" w:after="0"/>
        <w:rPr/>
      </w:pPr>
      <w:r>
        <w:rPr/>
        <w:t>avaliar a associação entre os diagnósticos da RM e o Diagnóstico Artoscópico (Longitudinal, Vertical, Alça de Balde, Degenerativa);</w:t>
      </w:r>
    </w:p>
    <w:p>
      <w:pPr>
        <w:pStyle w:val="Compact"/>
        <w:numPr>
          <w:ilvl w:val="0"/>
          <w:numId w:val="4"/>
        </w:numPr>
        <w:spacing w:before="0" w:after="0"/>
        <w:rPr/>
      </w:pPr>
      <w:r>
        <w:rPr/>
        <w:t>avaliar a relação entre a incidência no menisco acometido e a lesão associada (LCA);</w:t>
      </w:r>
    </w:p>
    <w:p>
      <w:pPr>
        <w:pStyle w:val="Compact"/>
        <w:numPr>
          <w:ilvl w:val="0"/>
          <w:numId w:val="4"/>
        </w:numPr>
        <w:rPr/>
      </w:pPr>
      <w:r>
        <w:rPr/>
        <w:t>identificar a incidência destas lesões de acordo com o gênero do paciente.</w:t>
      </w:r>
    </w:p>
    <w:p>
      <w:pPr>
        <w:pStyle w:val="Heading2"/>
        <w:numPr>
          <w:ilvl w:val="1"/>
          <w:numId w:val="2"/>
        </w:numPr>
        <w:rPr/>
      </w:pPr>
      <w:bookmarkStart w:id="6" w:name="__RefHeading___Toc758_1949040187"/>
      <w:bookmarkStart w:id="7" w:name="recepcao-e-tratamento-dos-dados"/>
      <w:bookmarkEnd w:id="6"/>
      <w:bookmarkEnd w:id="7"/>
      <w:r>
        <w:rPr/>
        <w:t>Recepção e tratamento dos dados</w:t>
      </w:r>
    </w:p>
    <w:p>
      <w:pPr>
        <w:pStyle w:val="Heading1"/>
        <w:numPr>
          <w:ilvl w:val="0"/>
          <w:numId w:val="2"/>
        </w:numPr>
        <w:rPr/>
      </w:pPr>
      <w:bookmarkStart w:id="8" w:name="__RefHeading___Toc760_1949040187"/>
      <w:bookmarkStart w:id="9" w:name="metodologia"/>
      <w:bookmarkEnd w:id="8"/>
      <w:bookmarkEnd w:id="9"/>
      <w:r>
        <w:rPr/>
        <w:t>Metodologia</w:t>
      </w:r>
    </w:p>
    <w:p>
      <w:pPr>
        <w:pStyle w:val="FirstParagraph"/>
        <w:rPr/>
      </w:pPr>
      <w:r>
        <w:rPr/>
        <w:t xml:space="preserve">As variáveis quantitativas foram descritas como média e desvio-padrão, as qualitativas como frequência e porcentagem. As associções entre duas variáveis qualitativas foram avaliadas com o teste exato de Fisher. Esta análise foi realizada utilizando-se o software </w:t>
      </w:r>
      <w:r>
        <w:rPr>
          <w:rStyle w:val="VerbatimChar"/>
        </w:rPr>
        <w:t>R</w:t>
      </w:r>
      <w:r>
        <w:rPr/>
        <w:t xml:space="preserve"> versão 3.4.3.</w:t>
      </w:r>
    </w:p>
    <w:p>
      <w:pPr>
        <w:pStyle w:val="Heading1"/>
        <w:numPr>
          <w:ilvl w:val="0"/>
          <w:numId w:val="2"/>
        </w:numPr>
        <w:rPr/>
      </w:pPr>
      <w:bookmarkStart w:id="10" w:name="__RefHeading___Toc762_1949040187"/>
      <w:bookmarkStart w:id="11" w:name="resultados"/>
      <w:bookmarkEnd w:id="10"/>
      <w:bookmarkEnd w:id="11"/>
      <w:r>
        <w:rPr/>
        <w:t>Resultados</w:t>
      </w:r>
    </w:p>
    <w:p>
      <w:pPr>
        <w:pStyle w:val="Heading2"/>
        <w:numPr>
          <w:ilvl w:val="1"/>
          <w:numId w:val="2"/>
        </w:numPr>
        <w:rPr/>
      </w:pPr>
      <w:bookmarkStart w:id="12" w:name="__RefHeading___Toc764_1949040187"/>
      <w:bookmarkStart w:id="13" w:name="analise-descritiva"/>
      <w:bookmarkEnd w:id="12"/>
      <w:bookmarkEnd w:id="13"/>
      <w:r>
        <w:rPr/>
        <w:t>Análise descritiva</w:t>
      </w:r>
    </w:p>
    <w:p>
      <w:pPr>
        <w:pStyle w:val="TableCaption"/>
        <w:rPr/>
      </w:pPr>
      <w:r>
        <w:rPr>
          <w:b/>
        </w:rPr>
        <w:t>Tabela 1</w:t>
      </w:r>
      <w:r>
        <w:rPr/>
        <w:t xml:space="preserve"> Descrição dos pacientes do estudo.</w:t>
      </w:r>
    </w:p>
    <w:tbl>
      <w:tblPr>
        <w:tblStyle w:val="TableNormal"/>
        <w:tblW w:w="9638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/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N</w:t>
            </w:r>
          </w:p>
        </w:tc>
        <w:tc>
          <w:tcPr>
            <w:tcW w:w="3213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213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21</w:t>
            </w:r>
          </w:p>
        </w:tc>
      </w:tr>
      <w:tr>
        <w:trPr/>
        <w:tc>
          <w:tcPr>
            <w:tcW w:w="3212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Idade (média (DP))</w:t>
            </w:r>
          </w:p>
        </w:tc>
        <w:tc>
          <w:tcPr>
            <w:tcW w:w="3213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213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29.05 (8.02)</w:t>
            </w:r>
          </w:p>
        </w:tc>
      </w:tr>
      <w:tr>
        <w:trPr/>
        <w:tc>
          <w:tcPr>
            <w:tcW w:w="3212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Gênero (%)</w:t>
            </w:r>
          </w:p>
        </w:tc>
        <w:tc>
          <w:tcPr>
            <w:tcW w:w="3213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f</w:t>
            </w:r>
          </w:p>
        </w:tc>
        <w:tc>
          <w:tcPr>
            <w:tcW w:w="3213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7 (33.3)</w:t>
            </w:r>
          </w:p>
        </w:tc>
      </w:tr>
      <w:tr>
        <w:trPr/>
        <w:tc>
          <w:tcPr>
            <w:tcW w:w="3212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213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m</w:t>
            </w:r>
          </w:p>
        </w:tc>
        <w:tc>
          <w:tcPr>
            <w:tcW w:w="3213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14 (66.7)</w:t>
            </w:r>
          </w:p>
        </w:tc>
      </w:tr>
      <w:tr>
        <w:trPr/>
        <w:tc>
          <w:tcPr>
            <w:tcW w:w="3212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RM (%)</w:t>
            </w:r>
          </w:p>
        </w:tc>
        <w:tc>
          <w:tcPr>
            <w:tcW w:w="3213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lesão complexa</w:t>
            </w:r>
          </w:p>
        </w:tc>
        <w:tc>
          <w:tcPr>
            <w:tcW w:w="3213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4 (19.0)</w:t>
            </w:r>
          </w:p>
        </w:tc>
      </w:tr>
      <w:tr>
        <w:trPr/>
        <w:tc>
          <w:tcPr>
            <w:tcW w:w="3212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213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lesão degenerativa</w:t>
            </w:r>
          </w:p>
        </w:tc>
        <w:tc>
          <w:tcPr>
            <w:tcW w:w="3213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1 (4.8)</w:t>
            </w:r>
          </w:p>
        </w:tc>
      </w:tr>
      <w:tr>
        <w:trPr/>
        <w:tc>
          <w:tcPr>
            <w:tcW w:w="3212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213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lesão em alça de balde</w:t>
            </w:r>
          </w:p>
        </w:tc>
        <w:tc>
          <w:tcPr>
            <w:tcW w:w="3213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7 (33.3)</w:t>
            </w:r>
          </w:p>
        </w:tc>
      </w:tr>
      <w:tr>
        <w:trPr/>
        <w:tc>
          <w:tcPr>
            <w:tcW w:w="3212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213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lesão horizontal</w:t>
            </w:r>
          </w:p>
        </w:tc>
        <w:tc>
          <w:tcPr>
            <w:tcW w:w="3213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1 (4.8)</w:t>
            </w:r>
          </w:p>
        </w:tc>
      </w:tr>
      <w:tr>
        <w:trPr/>
        <w:tc>
          <w:tcPr>
            <w:tcW w:w="3212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213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lesão longitudinal</w:t>
            </w:r>
          </w:p>
        </w:tc>
        <w:tc>
          <w:tcPr>
            <w:tcW w:w="3213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1 (4.8)</w:t>
            </w:r>
          </w:p>
        </w:tc>
      </w:tr>
      <w:tr>
        <w:trPr/>
        <w:tc>
          <w:tcPr>
            <w:tcW w:w="3212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213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lesão tipo flap</w:t>
            </w:r>
          </w:p>
        </w:tc>
        <w:tc>
          <w:tcPr>
            <w:tcW w:w="3213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1 (4.8)</w:t>
            </w:r>
          </w:p>
        </w:tc>
      </w:tr>
      <w:tr>
        <w:trPr/>
        <w:tc>
          <w:tcPr>
            <w:tcW w:w="3212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213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lesão vertical</w:t>
            </w:r>
          </w:p>
        </w:tc>
        <w:tc>
          <w:tcPr>
            <w:tcW w:w="3213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4 (19.0)</w:t>
            </w:r>
          </w:p>
        </w:tc>
      </w:tr>
      <w:tr>
        <w:trPr/>
        <w:tc>
          <w:tcPr>
            <w:tcW w:w="3212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213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normal</w:t>
            </w:r>
          </w:p>
        </w:tc>
        <w:tc>
          <w:tcPr>
            <w:tcW w:w="3213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2 (9.5)</w:t>
            </w:r>
          </w:p>
        </w:tc>
      </w:tr>
      <w:tr>
        <w:trPr/>
        <w:tc>
          <w:tcPr>
            <w:tcW w:w="3212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Localização (%)</w:t>
            </w:r>
          </w:p>
        </w:tc>
        <w:tc>
          <w:tcPr>
            <w:tcW w:w="3213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lateral</w:t>
            </w:r>
          </w:p>
        </w:tc>
        <w:tc>
          <w:tcPr>
            <w:tcW w:w="3213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7 (33.3)</w:t>
            </w:r>
          </w:p>
        </w:tc>
      </w:tr>
      <w:tr>
        <w:trPr/>
        <w:tc>
          <w:tcPr>
            <w:tcW w:w="3212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213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medial</w:t>
            </w:r>
          </w:p>
        </w:tc>
        <w:tc>
          <w:tcPr>
            <w:tcW w:w="3213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14 (66.7)</w:t>
            </w:r>
          </w:p>
        </w:tc>
      </w:tr>
      <w:tr>
        <w:trPr/>
        <w:tc>
          <w:tcPr>
            <w:tcW w:w="3212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Diag. Artrosc. (%)</w:t>
            </w:r>
          </w:p>
        </w:tc>
        <w:tc>
          <w:tcPr>
            <w:tcW w:w="3213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lesão complexa</w:t>
            </w:r>
          </w:p>
        </w:tc>
        <w:tc>
          <w:tcPr>
            <w:tcW w:w="3213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0 (0.0)</w:t>
            </w:r>
          </w:p>
        </w:tc>
      </w:tr>
      <w:tr>
        <w:trPr/>
        <w:tc>
          <w:tcPr>
            <w:tcW w:w="3212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213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lesão degenerativa</w:t>
            </w:r>
          </w:p>
        </w:tc>
        <w:tc>
          <w:tcPr>
            <w:tcW w:w="3213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4 (19.0)</w:t>
            </w:r>
          </w:p>
        </w:tc>
      </w:tr>
      <w:tr>
        <w:trPr/>
        <w:tc>
          <w:tcPr>
            <w:tcW w:w="3212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213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lesão em alça de balde</w:t>
            </w:r>
          </w:p>
        </w:tc>
        <w:tc>
          <w:tcPr>
            <w:tcW w:w="3213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7 (33.3)</w:t>
            </w:r>
          </w:p>
        </w:tc>
      </w:tr>
      <w:tr>
        <w:trPr/>
        <w:tc>
          <w:tcPr>
            <w:tcW w:w="3212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213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lesão horizontal</w:t>
            </w:r>
          </w:p>
        </w:tc>
        <w:tc>
          <w:tcPr>
            <w:tcW w:w="3213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0 (0.0)</w:t>
            </w:r>
          </w:p>
        </w:tc>
      </w:tr>
      <w:tr>
        <w:trPr/>
        <w:tc>
          <w:tcPr>
            <w:tcW w:w="3212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213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lesão longitudinal</w:t>
            </w:r>
          </w:p>
        </w:tc>
        <w:tc>
          <w:tcPr>
            <w:tcW w:w="3213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9 (42.9)</w:t>
            </w:r>
          </w:p>
        </w:tc>
      </w:tr>
      <w:tr>
        <w:trPr/>
        <w:tc>
          <w:tcPr>
            <w:tcW w:w="3212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213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lesão tipo flap</w:t>
            </w:r>
          </w:p>
        </w:tc>
        <w:tc>
          <w:tcPr>
            <w:tcW w:w="3213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0 (0.0)</w:t>
            </w:r>
          </w:p>
        </w:tc>
      </w:tr>
      <w:tr>
        <w:trPr/>
        <w:tc>
          <w:tcPr>
            <w:tcW w:w="3212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213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lesão vertical</w:t>
            </w:r>
          </w:p>
        </w:tc>
        <w:tc>
          <w:tcPr>
            <w:tcW w:w="3213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1 (4.8)</w:t>
            </w:r>
          </w:p>
        </w:tc>
      </w:tr>
      <w:tr>
        <w:trPr/>
        <w:tc>
          <w:tcPr>
            <w:tcW w:w="3212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213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normal</w:t>
            </w:r>
          </w:p>
        </w:tc>
        <w:tc>
          <w:tcPr>
            <w:tcW w:w="3213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0 (0.0)</w:t>
            </w:r>
          </w:p>
        </w:tc>
      </w:tr>
      <w:tr>
        <w:trPr/>
        <w:tc>
          <w:tcPr>
            <w:tcW w:w="3212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LCA (%)</w:t>
            </w:r>
          </w:p>
        </w:tc>
        <w:tc>
          <w:tcPr>
            <w:tcW w:w="3213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não</w:t>
            </w:r>
          </w:p>
        </w:tc>
        <w:tc>
          <w:tcPr>
            <w:tcW w:w="3213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5 (23.8)</w:t>
            </w:r>
          </w:p>
        </w:tc>
      </w:tr>
      <w:tr>
        <w:trPr/>
        <w:tc>
          <w:tcPr>
            <w:tcW w:w="3212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213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sim</w:t>
            </w:r>
          </w:p>
        </w:tc>
        <w:tc>
          <w:tcPr>
            <w:tcW w:w="3213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16 (76.2)</w:t>
            </w:r>
          </w:p>
        </w:tc>
      </w:tr>
    </w:tbl>
    <w:p>
      <w:pPr>
        <w:pStyle w:val="TextBody"/>
        <w:rPr/>
      </w:pPr>
      <w:r>
        <w:rPr/>
        <w:t>Após a aplicação dos critérios de inclusão e exclusão nos prontuários, 21 pacientes foram incluídos no estudo (tabela 1). Destes, 14 (66.7%) eram homens, e 7 (33.4%) mulheres. A idade média (DP) dos pacientes foi 29.05 (8.02) anos.</w:t>
      </w:r>
    </w:p>
    <w:p>
      <w:pPr>
        <w:pStyle w:val="TextBody"/>
        <w:rPr/>
      </w:pPr>
      <w:r>
        <w:rPr/>
        <w:t>As lesões ocorreram no menisco lateral em 7 casos (33.3%) e em 14 casos no menisco medial (66.7%). Foram identificadas lesões associadas ao ligamento em 16 (76.2%) casos.</w:t>
      </w:r>
    </w:p>
    <w:p>
      <w:pPr>
        <w:pStyle w:val="TextBody"/>
        <w:rPr/>
      </w:pPr>
      <w:r>
        <w:rPr/>
        <w:t>Os diagnósticos considerados para ambos os momentos (pré e per operatório) identificaram lesões diferentes. O diagnóstico artroscópico identificou apenas 4 lesões, enquanto a RM indicou um 8 lesões distintas, além de falhar ao identificar 2 casos em que havia lesão.</w:t>
      </w:r>
    </w:p>
    <w:p>
      <w:pPr>
        <w:pStyle w:val="TextBody"/>
        <w:rPr/>
      </w:pPr>
      <w:r>
        <w:rPr/>
        <w:t>O diagnóstico por RM identificou 7 lesões em alça de balde (33.3%), 4 lesões complexas (19.0%) e 4 lesões verticais (19.0%). As lesões degenerativa, horizontal, longitudinal e flap foram identificadas em um único caso (4.8%) cada.</w:t>
      </w:r>
    </w:p>
    <w:p>
      <w:pPr>
        <w:pStyle w:val="TextBody"/>
        <w:rPr/>
      </w:pPr>
      <w:r>
        <w:rPr/>
        <w:t>A RM foi incapaz de identificar corretamente 2 casos (9.5%).</w:t>
      </w:r>
    </w:p>
    <w:p>
      <w:pPr>
        <w:pStyle w:val="TextBody"/>
        <w:rPr/>
      </w:pPr>
      <w:r>
        <w:rPr/>
        <w:t>O diagnóstico confirmatório por artroscopia identificou 9 lesões longitudinais (42.9%), 7 lesões em alça de balde (33.3%), 4 lesões degenerativas (19.0%) e uma lesão vertical (4.8%).</w:t>
      </w:r>
    </w:p>
    <w:p>
      <w:pPr>
        <w:pStyle w:val="Heading2"/>
        <w:numPr>
          <w:ilvl w:val="1"/>
          <w:numId w:val="2"/>
        </w:numPr>
        <w:rPr/>
      </w:pPr>
      <w:bookmarkStart w:id="14" w:name="__RefHeading___Toc766_1949040187"/>
      <w:bookmarkStart w:id="15" w:name="relacao-entre-o-diagnostico-por-rm-e-artroscopico"/>
      <w:bookmarkEnd w:id="14"/>
      <w:bookmarkEnd w:id="15"/>
      <w:r>
        <w:rPr/>
        <w:t>Relação entre o diagnóstico por RM e artroscópico</w:t>
      </w:r>
    </w:p>
    <w:p>
      <w:pPr>
        <w:pStyle w:val="TableCaption"/>
        <w:rPr/>
      </w:pPr>
      <w:r>
        <w:rPr>
          <w:b/>
        </w:rPr>
        <w:t>Tabela 2</w:t>
      </w:r>
      <w:r>
        <w:rPr/>
        <w:t xml:space="preserve"> - Tabela de contingência dos diagnósticos obtidos por RM (linhas) e por Diagnóstico artroscópico (colunas); DA = diagnóstico artroscópico, lc = lesão complexa, ld = lesão degenerativa, ab = lesão em alça de balde, lh = lesão horizontal, ll = lesão longitudinal, lf = lesão tipo flap, lv = lesão vertical, sl = sem lesão. O p-valor corresponde ao teste exato de Fisher.</w:t>
      </w:r>
    </w:p>
    <w:tbl>
      <w:tblPr>
        <w:tblStyle w:val="TableNormal"/>
        <w:tblW w:w="9638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firstRow="1"/>
      </w:tblPr>
      <w:tblGrid>
        <w:gridCol w:w="1070"/>
        <w:gridCol w:w="1071"/>
        <w:gridCol w:w="1071"/>
        <w:gridCol w:w="1071"/>
        <w:gridCol w:w="1070"/>
        <w:gridCol w:w="1071"/>
        <w:gridCol w:w="1071"/>
        <w:gridCol w:w="1071"/>
        <w:gridCol w:w="1071"/>
      </w:tblGrid>
      <w:tr>
        <w:trPr>
          <w:cnfStyle w:firstRow="1"/>
        </w:trPr>
        <w:tc>
          <w:tcPr>
            <w:tcW w:w="1070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7" w:type="dxa"/>
            </w:tcMar>
            <w:vAlign w:val="bottom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RM \ DA</w:t>
            </w:r>
          </w:p>
        </w:tc>
        <w:tc>
          <w:tcPr>
            <w:tcW w:w="1071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7" w:type="dxa"/>
            </w:tcMar>
            <w:vAlign w:val="bottom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lc</w:t>
            </w:r>
          </w:p>
        </w:tc>
        <w:tc>
          <w:tcPr>
            <w:tcW w:w="1071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7" w:type="dxa"/>
            </w:tcMar>
            <w:vAlign w:val="bottom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ld</w:t>
            </w:r>
          </w:p>
        </w:tc>
        <w:tc>
          <w:tcPr>
            <w:tcW w:w="1071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7" w:type="dxa"/>
            </w:tcMar>
            <w:vAlign w:val="bottom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ab</w:t>
            </w:r>
          </w:p>
        </w:tc>
        <w:tc>
          <w:tcPr>
            <w:tcW w:w="1070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7" w:type="dxa"/>
            </w:tcMar>
            <w:vAlign w:val="bottom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lh</w:t>
            </w:r>
          </w:p>
        </w:tc>
        <w:tc>
          <w:tcPr>
            <w:tcW w:w="1071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7" w:type="dxa"/>
            </w:tcMar>
            <w:vAlign w:val="bottom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ll</w:t>
            </w:r>
          </w:p>
        </w:tc>
        <w:tc>
          <w:tcPr>
            <w:tcW w:w="1071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7" w:type="dxa"/>
            </w:tcMar>
            <w:vAlign w:val="bottom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lf</w:t>
            </w:r>
          </w:p>
        </w:tc>
        <w:tc>
          <w:tcPr>
            <w:tcW w:w="1071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7" w:type="dxa"/>
            </w:tcMar>
            <w:vAlign w:val="bottom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lv</w:t>
            </w:r>
          </w:p>
        </w:tc>
        <w:tc>
          <w:tcPr>
            <w:tcW w:w="1071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7" w:type="dxa"/>
            </w:tcMar>
            <w:vAlign w:val="bottom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sl</w:t>
            </w:r>
          </w:p>
        </w:tc>
      </w:tr>
      <w:tr>
        <w:trPr/>
        <w:tc>
          <w:tcPr>
            <w:tcW w:w="1070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lc</w:t>
            </w:r>
          </w:p>
        </w:tc>
        <w:tc>
          <w:tcPr>
            <w:tcW w:w="1071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0</w:t>
            </w:r>
          </w:p>
        </w:tc>
        <w:tc>
          <w:tcPr>
            <w:tcW w:w="1071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1071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0</w:t>
            </w:r>
          </w:p>
        </w:tc>
        <w:tc>
          <w:tcPr>
            <w:tcW w:w="1070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0</w:t>
            </w:r>
          </w:p>
        </w:tc>
        <w:tc>
          <w:tcPr>
            <w:tcW w:w="1071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1071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0</w:t>
            </w:r>
          </w:p>
        </w:tc>
        <w:tc>
          <w:tcPr>
            <w:tcW w:w="1071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0</w:t>
            </w:r>
          </w:p>
        </w:tc>
        <w:tc>
          <w:tcPr>
            <w:tcW w:w="1071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070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ld</w:t>
            </w:r>
          </w:p>
        </w:tc>
        <w:tc>
          <w:tcPr>
            <w:tcW w:w="1071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0</w:t>
            </w:r>
          </w:p>
        </w:tc>
        <w:tc>
          <w:tcPr>
            <w:tcW w:w="1071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0</w:t>
            </w:r>
          </w:p>
        </w:tc>
        <w:tc>
          <w:tcPr>
            <w:tcW w:w="1071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0</w:t>
            </w:r>
          </w:p>
        </w:tc>
        <w:tc>
          <w:tcPr>
            <w:tcW w:w="1070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0</w:t>
            </w:r>
          </w:p>
        </w:tc>
        <w:tc>
          <w:tcPr>
            <w:tcW w:w="1071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0</w:t>
            </w:r>
          </w:p>
        </w:tc>
        <w:tc>
          <w:tcPr>
            <w:tcW w:w="1071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0</w:t>
            </w:r>
          </w:p>
        </w:tc>
        <w:tc>
          <w:tcPr>
            <w:tcW w:w="1071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071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070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ab</w:t>
            </w:r>
          </w:p>
        </w:tc>
        <w:tc>
          <w:tcPr>
            <w:tcW w:w="1071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0</w:t>
            </w:r>
          </w:p>
        </w:tc>
        <w:tc>
          <w:tcPr>
            <w:tcW w:w="1071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0</w:t>
            </w:r>
          </w:p>
        </w:tc>
        <w:tc>
          <w:tcPr>
            <w:tcW w:w="1071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1070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0</w:t>
            </w:r>
          </w:p>
        </w:tc>
        <w:tc>
          <w:tcPr>
            <w:tcW w:w="1071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1071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0</w:t>
            </w:r>
          </w:p>
        </w:tc>
        <w:tc>
          <w:tcPr>
            <w:tcW w:w="1071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0</w:t>
            </w:r>
          </w:p>
        </w:tc>
        <w:tc>
          <w:tcPr>
            <w:tcW w:w="1071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070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lh</w:t>
            </w:r>
          </w:p>
        </w:tc>
        <w:tc>
          <w:tcPr>
            <w:tcW w:w="1071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0</w:t>
            </w:r>
          </w:p>
        </w:tc>
        <w:tc>
          <w:tcPr>
            <w:tcW w:w="1071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071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0</w:t>
            </w:r>
          </w:p>
        </w:tc>
        <w:tc>
          <w:tcPr>
            <w:tcW w:w="1070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0</w:t>
            </w:r>
          </w:p>
        </w:tc>
        <w:tc>
          <w:tcPr>
            <w:tcW w:w="1071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0</w:t>
            </w:r>
          </w:p>
        </w:tc>
        <w:tc>
          <w:tcPr>
            <w:tcW w:w="1071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0</w:t>
            </w:r>
          </w:p>
        </w:tc>
        <w:tc>
          <w:tcPr>
            <w:tcW w:w="1071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0</w:t>
            </w:r>
          </w:p>
        </w:tc>
        <w:tc>
          <w:tcPr>
            <w:tcW w:w="1071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070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ll</w:t>
            </w:r>
          </w:p>
        </w:tc>
        <w:tc>
          <w:tcPr>
            <w:tcW w:w="1071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0</w:t>
            </w:r>
          </w:p>
        </w:tc>
        <w:tc>
          <w:tcPr>
            <w:tcW w:w="1071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0</w:t>
            </w:r>
          </w:p>
        </w:tc>
        <w:tc>
          <w:tcPr>
            <w:tcW w:w="1071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0</w:t>
            </w:r>
          </w:p>
        </w:tc>
        <w:tc>
          <w:tcPr>
            <w:tcW w:w="1070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0</w:t>
            </w:r>
          </w:p>
        </w:tc>
        <w:tc>
          <w:tcPr>
            <w:tcW w:w="1071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071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0</w:t>
            </w:r>
          </w:p>
        </w:tc>
        <w:tc>
          <w:tcPr>
            <w:tcW w:w="1071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0</w:t>
            </w:r>
          </w:p>
        </w:tc>
        <w:tc>
          <w:tcPr>
            <w:tcW w:w="1071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070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lf</w:t>
            </w:r>
          </w:p>
        </w:tc>
        <w:tc>
          <w:tcPr>
            <w:tcW w:w="1071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0</w:t>
            </w:r>
          </w:p>
        </w:tc>
        <w:tc>
          <w:tcPr>
            <w:tcW w:w="1071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0</w:t>
            </w:r>
          </w:p>
        </w:tc>
        <w:tc>
          <w:tcPr>
            <w:tcW w:w="1071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0</w:t>
            </w:r>
          </w:p>
        </w:tc>
        <w:tc>
          <w:tcPr>
            <w:tcW w:w="1070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0</w:t>
            </w:r>
          </w:p>
        </w:tc>
        <w:tc>
          <w:tcPr>
            <w:tcW w:w="1071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071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0</w:t>
            </w:r>
          </w:p>
        </w:tc>
        <w:tc>
          <w:tcPr>
            <w:tcW w:w="1071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0</w:t>
            </w:r>
          </w:p>
        </w:tc>
        <w:tc>
          <w:tcPr>
            <w:tcW w:w="1071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070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lv</w:t>
            </w:r>
          </w:p>
        </w:tc>
        <w:tc>
          <w:tcPr>
            <w:tcW w:w="1071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0</w:t>
            </w:r>
          </w:p>
        </w:tc>
        <w:tc>
          <w:tcPr>
            <w:tcW w:w="1071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071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1070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0</w:t>
            </w:r>
          </w:p>
        </w:tc>
        <w:tc>
          <w:tcPr>
            <w:tcW w:w="1071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071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0</w:t>
            </w:r>
          </w:p>
        </w:tc>
        <w:tc>
          <w:tcPr>
            <w:tcW w:w="1071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0</w:t>
            </w:r>
          </w:p>
        </w:tc>
        <w:tc>
          <w:tcPr>
            <w:tcW w:w="1071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070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sl</w:t>
            </w:r>
          </w:p>
        </w:tc>
        <w:tc>
          <w:tcPr>
            <w:tcW w:w="1071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0</w:t>
            </w:r>
          </w:p>
        </w:tc>
        <w:tc>
          <w:tcPr>
            <w:tcW w:w="1071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0</w:t>
            </w:r>
          </w:p>
        </w:tc>
        <w:tc>
          <w:tcPr>
            <w:tcW w:w="1071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0</w:t>
            </w:r>
          </w:p>
        </w:tc>
        <w:tc>
          <w:tcPr>
            <w:tcW w:w="1070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0</w:t>
            </w:r>
          </w:p>
        </w:tc>
        <w:tc>
          <w:tcPr>
            <w:tcW w:w="1071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1071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0</w:t>
            </w:r>
          </w:p>
        </w:tc>
        <w:tc>
          <w:tcPr>
            <w:tcW w:w="1071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0</w:t>
            </w:r>
          </w:p>
        </w:tc>
        <w:tc>
          <w:tcPr>
            <w:tcW w:w="1071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0</w:t>
            </w:r>
          </w:p>
        </w:tc>
      </w:tr>
    </w:tbl>
    <w:p>
      <w:pPr>
        <w:pStyle w:val="TextBody"/>
        <w:rPr/>
      </w:pPr>
      <w:r>
        <w:rPr/>
        <w:t>A tabela 2 mostra as contagens pareadas em ambos os diagnósticos. A RM apresentou sucesso no diagnóstico de 6 lesões em alça de balde e uma lesão longitudinal. Apresentou erros de diagnóstico em um total de 15 classificadas erroneamente. Das lesões com erro de classificação, 2 foram classificadas como ausentes (falso negativo).</w:t>
      </w:r>
    </w:p>
    <w:p>
      <w:pPr>
        <w:pStyle w:val="TextBody"/>
        <w:rPr/>
      </w:pPr>
      <w:r>
        <w:rPr/>
        <w:t>A taxa de acerto da RM na amostra deste estudo foi de 28.6% (IC [11.3, 52.2]%) das lesões corretamente classificadas. Isto significa que, mesmo considerando todas as fontes de variabilidade envolvidas, a estimativa está significativamente abaixo de 50% de acerto.</w:t>
      </w:r>
    </w:p>
    <w:p>
      <w:pPr>
        <w:pStyle w:val="TextBody"/>
        <w:rPr/>
      </w:pPr>
      <w:r>
        <w:rPr/>
        <w:t>Há diferença significativa entre os diagnósticos efetuados por ambos os métodos (Fisher: p-valor = 0.041).</w:t>
      </w:r>
    </w:p>
    <w:p>
      <w:pPr>
        <w:pStyle w:val="Heading2"/>
        <w:numPr>
          <w:ilvl w:val="1"/>
          <w:numId w:val="2"/>
        </w:numPr>
        <w:rPr/>
      </w:pPr>
      <w:bookmarkStart w:id="16" w:name="__RefHeading___Toc768_1949040187"/>
      <w:bookmarkStart w:id="17" w:name="associacao-entre-a-localizacao-da-lesao-e-lca"/>
      <w:bookmarkEnd w:id="16"/>
      <w:bookmarkEnd w:id="17"/>
      <w:r>
        <w:rPr/>
        <w:t>Associação entre a localização da lesão e LCA</w:t>
      </w:r>
    </w:p>
    <w:p>
      <w:pPr>
        <w:pStyle w:val="TableCaption"/>
        <w:rPr/>
      </w:pPr>
      <w:r>
        <w:rPr>
          <w:b/>
        </w:rPr>
        <w:t>Tabela 3</w:t>
      </w:r>
      <w:r>
        <w:rPr/>
        <w:t xml:space="preserve"> Localização da lesão x LCA. O p-valor corresponde ao teste exato de Fisher.</w:t>
      </w:r>
    </w:p>
    <w:tbl>
      <w:tblPr>
        <w:tblStyle w:val="TableNormal"/>
        <w:tblW w:w="9638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firstRow="1"/>
      </w:tblPr>
      <w:tblGrid>
        <w:gridCol w:w="1927"/>
        <w:gridCol w:w="1928"/>
        <w:gridCol w:w="1927"/>
        <w:gridCol w:w="1928"/>
        <w:gridCol w:w="1928"/>
      </w:tblGrid>
      <w:tr>
        <w:trPr>
          <w:cnfStyle w:firstRow="1"/>
        </w:trPr>
        <w:tc>
          <w:tcPr>
            <w:tcW w:w="1927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7" w:type="dxa"/>
            </w:tcMar>
            <w:vAlign w:val="bottom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28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7" w:type="dxa"/>
            </w:tcMar>
            <w:vAlign w:val="bottom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27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7" w:type="dxa"/>
            </w:tcMar>
            <w:vAlign w:val="bottom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Sem LCA</w:t>
            </w:r>
          </w:p>
        </w:tc>
        <w:tc>
          <w:tcPr>
            <w:tcW w:w="1928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7" w:type="dxa"/>
            </w:tcMar>
            <w:vAlign w:val="bottom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Com LCA</w:t>
            </w:r>
          </w:p>
        </w:tc>
        <w:tc>
          <w:tcPr>
            <w:tcW w:w="1928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7" w:type="dxa"/>
            </w:tcMar>
            <w:vAlign w:val="bottom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p</w:t>
            </w:r>
          </w:p>
        </w:tc>
      </w:tr>
      <w:tr>
        <w:trPr/>
        <w:tc>
          <w:tcPr>
            <w:tcW w:w="1927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N</w:t>
            </w:r>
          </w:p>
        </w:tc>
        <w:tc>
          <w:tcPr>
            <w:tcW w:w="1928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27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1928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16</w:t>
            </w:r>
          </w:p>
        </w:tc>
        <w:tc>
          <w:tcPr>
            <w:tcW w:w="1928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927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Localização (%)</w:t>
            </w:r>
          </w:p>
        </w:tc>
        <w:tc>
          <w:tcPr>
            <w:tcW w:w="1928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lateral</w:t>
            </w:r>
          </w:p>
        </w:tc>
        <w:tc>
          <w:tcPr>
            <w:tcW w:w="1927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4 (80.0)</w:t>
            </w:r>
          </w:p>
        </w:tc>
        <w:tc>
          <w:tcPr>
            <w:tcW w:w="1928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3 (18.8)</w:t>
            </w:r>
          </w:p>
        </w:tc>
        <w:tc>
          <w:tcPr>
            <w:tcW w:w="1928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0.025</w:t>
            </w:r>
          </w:p>
        </w:tc>
      </w:tr>
      <w:tr>
        <w:trPr/>
        <w:tc>
          <w:tcPr>
            <w:tcW w:w="1927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28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medial</w:t>
            </w:r>
          </w:p>
        </w:tc>
        <w:tc>
          <w:tcPr>
            <w:tcW w:w="1927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1 (20.0)</w:t>
            </w:r>
          </w:p>
        </w:tc>
        <w:tc>
          <w:tcPr>
            <w:tcW w:w="1928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  <w:t>13 (81.2)</w:t>
            </w:r>
          </w:p>
        </w:tc>
        <w:tc>
          <w:tcPr>
            <w:tcW w:w="1928" w:type="dxa"/>
            <w:tcBorders/>
            <w:shd w:fill="auto" w:val="clear"/>
            <w:tcMar>
              <w:left w:w="107" w:type="dxa"/>
            </w:tcMar>
            <w:vAlign w:val="center"/>
          </w:tcPr>
          <w:p>
            <w:pPr>
              <w:pStyle w:val="Compact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TextBody"/>
        <w:rPr/>
      </w:pPr>
      <w:r>
        <w:rPr/>
        <w:t>As lesões LCA ocorreram em 3 pacientes (18.8) no menisco lateral e em 13 (81.2%) no menisco medial (tabela 3). Há uma associação significativa entre a localização da lesão e a lesão associada no LCA (p-valor = 0.025). Parece haver evidências de que nas lesões de menisco medial há 14 vezes mais chances de estarem associadas a uma lesão no LCA (OR: 14.39, IC=[1.00, 909.70]).</w:t>
      </w:r>
    </w:p>
    <w:p>
      <w:pPr>
        <w:pStyle w:val="Heading2"/>
        <w:numPr>
          <w:ilvl w:val="1"/>
          <w:numId w:val="2"/>
        </w:numPr>
        <w:rPr/>
      </w:pPr>
      <w:bookmarkStart w:id="18" w:name="__RefHeading___Toc770_1949040187"/>
      <w:bookmarkStart w:id="19" w:name="incidencia-por-genero"/>
      <w:bookmarkEnd w:id="18"/>
      <w:bookmarkEnd w:id="19"/>
      <w:r>
        <w:rPr/>
        <w:t>Incidência por gênero</w:t>
      </w:r>
    </w:p>
    <w:p>
      <w:pPr>
        <w:pStyle w:val="FirstParagraph"/>
        <w:rPr/>
      </w:pPr>
      <w:r>
        <w:rPr/>
        <w:t>Os diagnósticos pré e per operatórios tiveram suas incidências estratificadas por gênero dos pacientes levantados.</w:t>
      </w:r>
    </w:p>
    <w:p>
      <w:pPr>
        <w:pStyle w:val="TextBody"/>
        <w:rPr/>
      </w:pPr>
      <w:r>
        <w:rPr/>
        <w:t>De acordo com a RM, os diagnósticos mais frequentes nos 14 pacientes homens foram a lesão complexa e a lesão em alça balde, ambos ocorrendo em 4 pacientes (28.6%). A lesão vertical ocorreu em 2 homens (14.3%) e as lesões degenerativa, horizontal e flap ocorreram em 1 (7.1%) paciente, cada. Considerando as 7 mulheres incluídas no estudo, o diagnóstico mais frequente pela RM foi a lesão em alça de balde em 3 pacientes (42.9%) e a lesão longitudinal foi percebida em uma paciente (14.3%). Em cada um dos gêneros ocorreu um falso negativo, isto é, casos em que a RM não foi capaz de identificar nenhuma lesão.</w:t>
      </w:r>
    </w:p>
    <w:p>
      <w:pPr>
        <w:pStyle w:val="TextBody"/>
        <w:rPr/>
      </w:pPr>
      <w:r>
        <w:rPr/>
        <w:t>Quando foi feito o diagnóstico artroscópico, a lesão identificada com maior frequência em homens foi a longitudinal, em 5 casos (35.7). As lesões degenerativa e alça de balde foram diagnosticadas em 4 casos cada (28.6%) e uma lesão vertical (7.1%). Nas mulheres a lesão com maior incidência foi a longitudinal (4 casos, 57.1%), seguida da alça de balde (3 casos, 42.9%).</w:t>
      </w:r>
    </w:p>
    <w:p>
      <w:pPr>
        <w:pStyle w:val="TextBody"/>
        <w:rPr/>
      </w:pPr>
      <w:r>
        <w:rPr/>
        <w:t>Não houve diferença significativa nas distribuições dos possíveis diagnósticos em relação aos gêneros, tanto no caso da RM (p-valor = 0.536), como do diagnóstico artroscópico (p-valor = 0.420). Isto indica que as lesões parecem ter incidências semelhantes em ambos os gêneros.</w:t>
      </w:r>
    </w:p>
    <w:p>
      <w:pPr>
        <w:pStyle w:val="Heading1"/>
        <w:numPr>
          <w:ilvl w:val="0"/>
          <w:numId w:val="2"/>
        </w:numPr>
        <w:rPr/>
      </w:pPr>
      <w:bookmarkStart w:id="20" w:name="__RefHeading___Toc772_1949040187"/>
      <w:bookmarkStart w:id="21" w:name="excecoes-e-limitacoes-do-estudo"/>
      <w:bookmarkEnd w:id="20"/>
      <w:bookmarkEnd w:id="21"/>
      <w:r>
        <w:rPr/>
        <w:t>Exceções e limitações do estudo</w:t>
      </w:r>
    </w:p>
    <w:p>
      <w:pPr>
        <w:pStyle w:val="FirstParagraph"/>
        <w:rPr/>
      </w:pPr>
      <w:r>
        <w:rPr/>
        <w:t>Este estudo não contemplou casos positivos e negativos, para o desafio a RM como método diagnóstico. Assim, não é possível determinar a sua sensibilidade, especificidade, acurácia e outros parâmtros relevantes. Para uma comparação efetiva entre os métodos de diagnóstico, o ideal seria um estudo prospectivo randomizado e controlado, com casos balanceados positivos e negativos para os diversos tipos de lesão.</w:t>
      </w:r>
    </w:p>
    <w:p>
      <w:pPr>
        <w:pStyle w:val="Heading1"/>
        <w:numPr>
          <w:ilvl w:val="0"/>
          <w:numId w:val="2"/>
        </w:numPr>
        <w:rPr/>
      </w:pPr>
      <w:bookmarkStart w:id="22" w:name="__RefHeading___Toc774_1949040187"/>
      <w:bookmarkStart w:id="23" w:name="conclusoes"/>
      <w:bookmarkEnd w:id="22"/>
      <w:bookmarkEnd w:id="23"/>
      <w:r>
        <w:rPr/>
        <w:t>Conclusões</w:t>
      </w:r>
    </w:p>
    <w:p>
      <w:pPr>
        <w:pStyle w:val="Compact"/>
        <w:numPr>
          <w:ilvl w:val="0"/>
          <w:numId w:val="5"/>
        </w:numPr>
        <w:spacing w:before="0" w:after="0"/>
        <w:rPr/>
      </w:pPr>
      <w:r>
        <w:rPr/>
        <w:t>A RM apresentou 29% de acerto ao identificar lesões no pré-operatório, e esta taxa é significativamente menor que 50%.</w:t>
      </w:r>
    </w:p>
    <w:p>
      <w:pPr>
        <w:pStyle w:val="Compact"/>
        <w:numPr>
          <w:ilvl w:val="0"/>
          <w:numId w:val="5"/>
        </w:numPr>
        <w:spacing w:before="0" w:after="0"/>
        <w:rPr/>
      </w:pPr>
      <w:r>
        <w:rPr/>
        <w:t>As lesões no menisco medial estão significativamente associadas a um aumento na chance de ocorrência de LCA;</w:t>
      </w:r>
    </w:p>
    <w:p>
      <w:pPr>
        <w:pStyle w:val="Compact"/>
        <w:numPr>
          <w:ilvl w:val="0"/>
          <w:numId w:val="5"/>
        </w:numPr>
        <w:rPr/>
      </w:pPr>
      <w:r>
        <w:rPr/>
        <w:t>As lesões não parecem apresentar incidências diferenciadas por gênero;</w:t>
      </w:r>
    </w:p>
    <w:p>
      <w:pPr>
        <w:pStyle w:val="Heading1"/>
        <w:numPr>
          <w:ilvl w:val="0"/>
          <w:numId w:val="2"/>
        </w:numPr>
        <w:rPr/>
      </w:pPr>
      <w:bookmarkStart w:id="24" w:name="__RefHeading___Toc776_1949040187"/>
      <w:bookmarkStart w:id="25" w:name="referencias"/>
      <w:bookmarkEnd w:id="24"/>
      <w:bookmarkEnd w:id="25"/>
      <w:r>
        <w:rPr/>
        <w:t>Referências</w:t>
      </w:r>
    </w:p>
    <w:p>
      <w:pPr>
        <w:pStyle w:val="Heading1"/>
        <w:numPr>
          <w:ilvl w:val="0"/>
          <w:numId w:val="2"/>
        </w:numPr>
        <w:rPr/>
      </w:pPr>
      <w:bookmarkStart w:id="26" w:name="__RefHeading___Toc778_1949040187"/>
      <w:bookmarkStart w:id="27" w:name="apendice"/>
      <w:bookmarkEnd w:id="26"/>
      <w:bookmarkEnd w:id="27"/>
      <w:r>
        <w:rPr/>
        <w:t>Apêndice</w:t>
      </w:r>
    </w:p>
    <w:p>
      <w:pPr>
        <w:pStyle w:val="FirstParagraph"/>
        <w:spacing w:before="280" w:after="280"/>
        <w:rPr/>
      </w:pPr>
      <w:r>
        <w:rPr/>
        <w:t>Table: Dados brutos recebidos pelo solicitante.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567" w:top="851" w:footer="0" w:bottom="567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before="280" w:after="0"/>
      <w:rPr/>
    </w:pPr>
    <w:r>
      <w:rPr/>
      <mc:AlternateContent>
        <mc:Choice Requires="wps">
          <w:drawing>
            <wp:inline distT="0" distB="0" distL="0" distR="0">
              <wp:extent cx="1905" cy="20320"/>
              <wp:effectExtent l="0" t="0" r="0" b="0"/>
              <wp:docPr id="4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0" cy="1980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fillcolor="#a0a0a0" stroked="f" style="position:absolute;margin-left:0pt;margin-top:0pt;width:0.05pt;height:1.5pt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</w:r>
  </w:p>
  <w:tbl>
    <w:tblPr>
      <w:tblW w:w="9498" w:type="dxa"/>
      <w:jc w:val="righ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4a0" w:noHBand="0" w:noVBand="1"/>
    </w:tblPr>
    <w:tblGrid>
      <w:gridCol w:w="4175"/>
      <w:gridCol w:w="232"/>
      <w:gridCol w:w="1355"/>
      <w:gridCol w:w="232"/>
      <w:gridCol w:w="1259"/>
      <w:gridCol w:w="232"/>
      <w:gridCol w:w="915"/>
      <w:gridCol w:w="231"/>
      <w:gridCol w:w="866"/>
    </w:tblGrid>
    <w:tr>
      <w:trPr>
        <w:trHeight w:val="457" w:hRule="atLeast"/>
        <w:cantSplit w:val="true"/>
      </w:trPr>
      <w:tc>
        <w:tcPr>
          <w:tcW w:w="4175" w:type="dxa"/>
          <w:tcBorders/>
          <w:shd w:fill="auto" w:val="clear"/>
          <w:vAlign w:val="center"/>
        </w:tcPr>
        <w:p>
          <w:pPr>
            <w:pStyle w:val="Footer"/>
            <w:spacing w:beforeAutospacing="0" w:before="0" w:afterAutospacing="0" w:after="0"/>
            <w:rPr>
              <w:rFonts w:cs="Arial"/>
              <w:b/>
              <w:b/>
              <w:bCs/>
              <w:sz w:val="20"/>
              <w:szCs w:val="20"/>
              <w:lang w:val="pt-BR"/>
            </w:rPr>
          </w:pPr>
          <w:r>
            <w:rPr>
              <w:rFonts w:cs="Arial"/>
              <w:b/>
              <w:bCs/>
              <w:sz w:val="20"/>
              <w:szCs w:val="20"/>
              <w:lang w:val="pt-BR"/>
            </w:rPr>
          </w:r>
        </w:p>
      </w:tc>
      <w:tc>
        <w:tcPr>
          <w:tcW w:w="232" w:type="dxa"/>
          <w:tcBorders/>
          <w:shd w:fill="auto" w:val="clear"/>
          <w:tcMar>
            <w:left w:w="0" w:type="dxa"/>
            <w:right w:w="0" w:type="dxa"/>
          </w:tcMar>
        </w:tcPr>
        <w:p>
          <w:pPr>
            <w:pStyle w:val="Footer"/>
            <w:spacing w:beforeAutospacing="0" w:before="0" w:afterAutospacing="0" w:after="0"/>
            <w:jc w:val="center"/>
            <w:rPr>
              <w:rFonts w:cs="Arial"/>
              <w:b/>
              <w:b/>
              <w:bCs/>
              <w:sz w:val="18"/>
              <w:szCs w:val="18"/>
              <w:lang w:val="pt-BR"/>
            </w:rPr>
          </w:pPr>
          <w:r>
            <w:rPr>
              <w:rFonts w:cs="Arial"/>
              <w:b/>
              <w:bCs/>
              <w:sz w:val="18"/>
              <w:szCs w:val="18"/>
              <w:lang w:val="pt-BR"/>
            </w:rPr>
          </w:r>
        </w:p>
      </w:tc>
      <w:tc>
        <w:tcPr>
          <w:tcW w:w="1355" w:type="dxa"/>
          <w:tcBorders/>
          <w:shd w:fill="auto" w:val="clear"/>
          <w:tcMar>
            <w:left w:w="0" w:type="dxa"/>
            <w:right w:w="0" w:type="dxa"/>
          </w:tcMar>
          <w:vAlign w:val="center"/>
        </w:tcPr>
        <w:p>
          <w:pPr>
            <w:pStyle w:val="Footer"/>
            <w:spacing w:beforeAutospacing="0" w:before="0" w:afterAutospacing="0" w:after="0"/>
            <w:jc w:val="center"/>
            <w:rPr>
              <w:rFonts w:cs="Arial"/>
              <w:b/>
              <w:b/>
              <w:bCs/>
              <w:sz w:val="20"/>
              <w:szCs w:val="20"/>
            </w:rPr>
          </w:pPr>
          <w:r>
            <w:rPr>
              <w:rFonts w:cs="Arial"/>
              <w:b/>
              <w:bCs/>
              <w:sz w:val="20"/>
              <w:szCs w:val="20"/>
            </w:rPr>
          </w:r>
        </w:p>
      </w:tc>
      <w:tc>
        <w:tcPr>
          <w:tcW w:w="232" w:type="dxa"/>
          <w:tcBorders/>
          <w:shd w:fill="auto" w:val="clear"/>
        </w:tcPr>
        <w:p>
          <w:pPr>
            <w:pStyle w:val="Header"/>
            <w:spacing w:beforeAutospacing="0" w:before="0" w:afterAutospacing="0" w:after="0"/>
            <w:rPr>
              <w:rFonts w:cs="Arial"/>
              <w:b/>
              <w:b/>
              <w:bCs/>
            </w:rPr>
          </w:pPr>
          <w:r>
            <w:rPr>
              <w:rFonts w:cs="Arial"/>
              <w:b/>
              <w:bCs/>
            </w:rPr>
          </w:r>
        </w:p>
      </w:tc>
      <w:tc>
        <w:tcPr>
          <w:tcW w:w="1259" w:type="dxa"/>
          <w:tcBorders/>
          <w:shd w:fill="auto" w:val="clear"/>
          <w:vAlign w:val="center"/>
        </w:tcPr>
        <w:p>
          <w:pPr>
            <w:pStyle w:val="Footer"/>
            <w:spacing w:beforeAutospacing="0" w:before="0" w:afterAutospacing="0" w:after="0"/>
            <w:jc w:val="center"/>
            <w:rPr>
              <w:rFonts w:cs="Arial"/>
              <w:b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</w:r>
        </w:p>
      </w:tc>
      <w:tc>
        <w:tcPr>
          <w:tcW w:w="232" w:type="dxa"/>
          <w:tcBorders/>
          <w:shd w:fill="auto" w:val="clear"/>
        </w:tcPr>
        <w:p>
          <w:pPr>
            <w:pStyle w:val="Footer"/>
            <w:spacing w:beforeAutospacing="0" w:before="0" w:afterAutospacing="0" w:after="0"/>
            <w:jc w:val="center"/>
            <w:rPr>
              <w:rFonts w:cs="Arial"/>
              <w:b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</w:r>
        </w:p>
      </w:tc>
      <w:tc>
        <w:tcPr>
          <w:tcW w:w="915" w:type="dxa"/>
          <w:tcBorders/>
          <w:shd w:fill="auto" w:val="clear"/>
          <w:vAlign w:val="center"/>
        </w:tcPr>
        <w:p>
          <w:pPr>
            <w:pStyle w:val="Header"/>
            <w:spacing w:beforeAutospacing="0" w:before="0" w:afterAutospacing="0" w:after="0"/>
            <w:jc w:val="center"/>
            <w:rPr>
              <w:rFonts w:cs="Arial"/>
              <w:b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</w:r>
        </w:p>
      </w:tc>
      <w:tc>
        <w:tcPr>
          <w:tcW w:w="231" w:type="dxa"/>
          <w:tcBorders/>
          <w:shd w:fill="auto" w:val="clear"/>
          <w:vAlign w:val="center"/>
        </w:tcPr>
        <w:p>
          <w:pPr>
            <w:pStyle w:val="Header"/>
            <w:spacing w:beforeAutospacing="0" w:before="0" w:afterAutospacing="0" w:after="0"/>
            <w:jc w:val="center"/>
            <w:rPr>
              <w:rFonts w:cs="Arial"/>
              <w:b/>
              <w:b/>
              <w:bCs/>
              <w:sz w:val="20"/>
              <w:szCs w:val="20"/>
            </w:rPr>
          </w:pPr>
          <w:r>
            <w:rPr>
              <w:rFonts w:cs="Arial"/>
              <w:b/>
              <w:bCs/>
              <w:sz w:val="20"/>
              <w:szCs w:val="20"/>
            </w:rPr>
          </w:r>
        </w:p>
      </w:tc>
      <w:tc>
        <w:tcPr>
          <w:tcW w:w="866" w:type="dxa"/>
          <w:tcBorders/>
          <w:shd w:fill="auto" w:val="clear"/>
          <w:vAlign w:val="center"/>
        </w:tcPr>
        <w:p>
          <w:pPr>
            <w:pStyle w:val="Footer"/>
            <w:spacing w:beforeAutospacing="0" w:before="0" w:afterAutospacing="0" w:after="0"/>
            <w:jc w:val="center"/>
            <w:rPr>
              <w:rFonts w:cs="Arial"/>
              <w:b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</w:r>
        </w:p>
      </w:tc>
    </w:tr>
  </w:tbl>
  <w:p>
    <w:pPr>
      <w:pStyle w:val="TextBody"/>
      <w:spacing w:before="280" w:after="280"/>
      <w:jc w:val="both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5000" w:type="pct"/>
      <w:jc w:val="center"/>
      <w:tblInd w:w="0" w:type="dxa"/>
      <w:tblCellMar>
        <w:top w:w="0" w:type="dxa"/>
        <w:left w:w="113" w:type="dxa"/>
        <w:bottom w:w="0" w:type="dxa"/>
        <w:right w:w="108" w:type="dxa"/>
      </w:tblCellMar>
      <w:tblLook w:noVBand="1" w:val="04a0" w:noHBand="0" w:lastColumn="0" w:firstColumn="1" w:lastRow="0" w:firstRow="1"/>
    </w:tblPr>
    <w:tblGrid>
      <w:gridCol w:w="9638"/>
    </w:tblGrid>
    <w:tr>
      <w:trPr/>
      <w:tc>
        <w:tcPr>
          <w:tcW w:w="9638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Header"/>
            <w:spacing w:before="280" w:after="0"/>
            <w:jc w:val="center"/>
            <w:rPr/>
          </w:pPr>
          <w:r>
            <w:rPr/>
          </w:r>
        </w:p>
      </w:tc>
    </w:tr>
    <w:tr>
      <w:trPr/>
      <w:tc>
        <w:tcPr>
          <w:tcW w:w="9638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Normal"/>
            <w:spacing w:before="280" w:after="0"/>
            <w:jc w:val="center"/>
            <w:rPr/>
          </w:pPr>
          <w:r>
            <w:rPr>
              <w:b/>
            </w:rPr>
            <w:t>https://github.com/philsf-biostat/analise_dados_AL_2018</w:t>
          </w:r>
        </w:p>
      </w:tc>
    </w:tr>
  </w:tbl>
  <w:sdt>
    <w:sdtPr>
      <w:docPartObj>
        <w:docPartGallery w:val="Watermarks"/>
        <w:docPartUnique w:val="true"/>
      </w:docPartObj>
      <w:id w:val="1350467151"/>
    </w:sdtPr>
    <w:sdtContent>
      <w:p>
        <w:pPr>
          <w:pStyle w:val="Normal"/>
          <w:spacing w:beforeAutospacing="0" w:before="0" w:after="0"/>
          <w:rPr/>
        </w:pPr>
        <w:r>
          <w:rPr/>
          <mc:AlternateContent>
            <mc:Choice Requires="wps">
              <w:drawing>
                <wp:inline distT="0" distB="0" distL="0" distR="0">
                  <wp:extent cx="1905" cy="20320"/>
                  <wp:effectExtent l="0" t="0" r="0" b="0"/>
                  <wp:docPr id="3" name="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440" cy="19800"/>
                          </a:xfrm>
                          <a:prstGeom prst="rect">
                            <a:avLst/>
                          </a:pr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a:graphicData>
                  </a:graphic>
                </wp:inline>
              </w:drawing>
            </mc:Choice>
            <mc:Fallback>
              <w:pict>
                <v:rect id="shape_0" fillcolor="#a0a0a0" stroked="f" style="position:absolute;margin-left:0pt;margin-top:0pt;width:0.05pt;height:1.5pt">
                  <w10:wrap type="none"/>
                  <v:fill o:detectmouseclick="t" type="solid" color2="#5f5f5f"/>
                  <v:stroke color="#3465a4" joinstyle="round" endcap="flat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454" w:hanging="454"/>
      </w:pPr>
    </w:lvl>
    <w:lvl w:ilvl="1">
      <w:start w:val="1"/>
      <w:pStyle w:val="Heading2"/>
      <w:numFmt w:val="decimal"/>
      <w:lvlText w:val="%1.%2."/>
      <w:lvlJc w:val="left"/>
      <w:pPr>
        <w:ind w:left="454" w:hanging="454"/>
      </w:pPr>
    </w:lvl>
    <w:lvl w:ilvl="2">
      <w:start w:val="1"/>
      <w:pStyle w:val="Heading3"/>
      <w:numFmt w:val="decimal"/>
      <w:lvlText w:val="%1.%2.%3."/>
      <w:lvlJc w:val="left"/>
      <w:pPr>
        <w:ind w:left="454" w:hanging="454"/>
      </w:pPr>
    </w:lvl>
    <w:lvl w:ilvl="3">
      <w:start w:val="1"/>
      <w:pStyle w:val="Heading4"/>
      <w:numFmt w:val="decimal"/>
      <w:lvlText w:val="%1.%2.%3.%4."/>
      <w:lvlJc w:val="left"/>
      <w:pPr>
        <w:ind w:left="454" w:hanging="454"/>
      </w:pPr>
    </w:lvl>
    <w:lvl w:ilvl="4">
      <w:start w:val="1"/>
      <w:pStyle w:val="Heading5"/>
      <w:numFmt w:val="decimal"/>
      <w:lvlText w:val="%1.%2.%3.%4.%5."/>
      <w:lvlJc w:val="left"/>
      <w:pPr>
        <w:ind w:left="454" w:hanging="454"/>
      </w:pPr>
    </w:lvl>
    <w:lvl w:ilvl="5">
      <w:start w:val="1"/>
      <w:pStyle w:val="Heading6"/>
      <w:numFmt w:val="decimal"/>
      <w:lvlText w:val="%1.%2.%3.%4.%5.%6."/>
      <w:lvlJc w:val="left"/>
      <w:pPr>
        <w:ind w:left="454" w:hanging="454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454" w:hanging="454"/>
      </w:pPr>
    </w:lvl>
    <w:lvl w:ilvl="1">
      <w:start w:val="1"/>
      <w:numFmt w:val="decimal"/>
      <w:lvlText w:val="%1.%2."/>
      <w:lvlJc w:val="left"/>
      <w:pPr>
        <w:ind w:left="454" w:hanging="454"/>
      </w:pPr>
    </w:lvl>
    <w:lvl w:ilvl="2">
      <w:start w:val="1"/>
      <w:numFmt w:val="decimal"/>
      <w:lvlText w:val="%1.%2.%3."/>
      <w:lvlJc w:val="left"/>
      <w:pPr>
        <w:ind w:left="454" w:hanging="454"/>
      </w:pPr>
    </w:lvl>
    <w:lvl w:ilvl="3">
      <w:start w:val="1"/>
      <w:numFmt w:val="decimal"/>
      <w:lvlText w:val="%1.%2.%3.%4."/>
      <w:lvlJc w:val="left"/>
      <w:pPr>
        <w:ind w:left="454" w:hanging="454"/>
      </w:pPr>
    </w:lvl>
    <w:lvl w:ilvl="4">
      <w:start w:val="1"/>
      <w:numFmt w:val="decimal"/>
      <w:lvlText w:val="%1.%2.%3.%4.%5."/>
      <w:lvlJc w:val="left"/>
      <w:pPr>
        <w:ind w:left="454" w:hanging="454"/>
      </w:pPr>
    </w:lvl>
    <w:lvl w:ilvl="5">
      <w:start w:val="1"/>
      <w:numFmt w:val="decimal"/>
      <w:lvlText w:val="%1.%2.%3.%4.%5.%6."/>
      <w:lvlJc w:val="left"/>
      <w:pPr>
        <w:ind w:left="454" w:hanging="454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5128c"/>
    <w:pPr>
      <w:widowControl/>
      <w:bidi w:val="0"/>
      <w:spacing w:lineRule="auto" w:line="240" w:beforeAutospacing="1" w:afterAutospacing="1"/>
      <w:jc w:val="left"/>
    </w:pPr>
    <w:rPr>
      <w:rFonts w:ascii="Arial" w:hAnsi="Arial" w:eastAsia="Cambria" w:cs="" w:cstheme="minorBidi" w:eastAsiaTheme="minorHAnsi"/>
      <w:color w:val="00000A"/>
      <w:kern w:val="0"/>
      <w:sz w:val="22"/>
      <w:szCs w:val="24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rsid w:val="00704ca8"/>
    <w:pPr>
      <w:keepNext w:val="true"/>
      <w:keepLines/>
      <w:numPr>
        <w:ilvl w:val="0"/>
        <w:numId w:val="1"/>
      </w:numPr>
      <w:spacing w:beforeAutospacing="0" w:before="120" w:afterAutospacing="0" w:after="240"/>
      <w:outlineLvl w:val="0"/>
    </w:pPr>
    <w:rPr>
      <w:rFonts w:eastAsia="" w:cs="" w:cstheme="majorBidi" w:eastAsiaTheme="majorEastAsia"/>
      <w:b/>
      <w:bCs/>
      <w:caps/>
      <w:szCs w:val="32"/>
    </w:rPr>
  </w:style>
  <w:style w:type="paragraph" w:styleId="Heading2">
    <w:name w:val="Heading 2"/>
    <w:basedOn w:val="Heading1"/>
    <w:next w:val="Normal"/>
    <w:uiPriority w:val="9"/>
    <w:unhideWhenUsed/>
    <w:qFormat/>
    <w:rsid w:val="00d12482"/>
    <w:pPr>
      <w:numPr>
        <w:ilvl w:val="1"/>
        <w:numId w:val="1"/>
      </w:numPr>
      <w:outlineLvl w:val="1"/>
    </w:pPr>
    <w:rPr>
      <w:caps w:val="false"/>
      <w:smallCaps w:val="false"/>
    </w:rPr>
  </w:style>
  <w:style w:type="paragraph" w:styleId="Heading3">
    <w:name w:val="Heading 3"/>
    <w:basedOn w:val="Heading2"/>
    <w:next w:val="Normal"/>
    <w:uiPriority w:val="9"/>
    <w:unhideWhenUsed/>
    <w:qFormat/>
    <w:rsid w:val="0035128c"/>
    <w:pPr>
      <w:numPr>
        <w:ilvl w:val="2"/>
        <w:numId w:val="1"/>
      </w:numPr>
      <w:outlineLvl w:val="2"/>
    </w:pPr>
    <w:rPr/>
  </w:style>
  <w:style w:type="paragraph" w:styleId="Heading4">
    <w:name w:val="Heading 4"/>
    <w:basedOn w:val="Heading3"/>
    <w:next w:val="Normal"/>
    <w:uiPriority w:val="9"/>
    <w:unhideWhenUsed/>
    <w:qFormat/>
    <w:rsid w:val="0035128c"/>
    <w:pPr>
      <w:numPr>
        <w:ilvl w:val="3"/>
        <w:numId w:val="1"/>
      </w:numPr>
      <w:outlineLvl w:val="3"/>
    </w:pPr>
    <w:rPr>
      <w:bCs w:val="false"/>
    </w:rPr>
  </w:style>
  <w:style w:type="paragraph" w:styleId="Heading5">
    <w:name w:val="Heading 5"/>
    <w:basedOn w:val="Heading4"/>
    <w:next w:val="Normal"/>
    <w:uiPriority w:val="9"/>
    <w:unhideWhenUsed/>
    <w:qFormat/>
    <w:rsid w:val="00d12482"/>
    <w:pPr>
      <w:numPr>
        <w:ilvl w:val="4"/>
        <w:numId w:val="1"/>
      </w:numPr>
      <w:outlineLvl w:val="4"/>
    </w:pPr>
    <w:rPr>
      <w:iCs/>
    </w:rPr>
  </w:style>
  <w:style w:type="paragraph" w:styleId="Heading6">
    <w:name w:val="Heading 6"/>
    <w:basedOn w:val="Normal"/>
    <w:uiPriority w:val="9"/>
    <w:unhideWhenUsed/>
    <w:qFormat/>
    <w:rsid w:val="006900cf"/>
    <w:pPr>
      <w:keepNext w:val="true"/>
      <w:keepLines/>
      <w:numPr>
        <w:ilvl w:val="5"/>
        <w:numId w:val="1"/>
      </w:numPr>
      <w:outlineLvl w:val="5"/>
    </w:pPr>
    <w:rPr>
      <w:rFonts w:eastAsia="" w:cs="" w:cstheme="majorBidi" w:eastAsiaTheme="majorEastAsia"/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egendaChar" w:customStyle="1">
    <w:name w:val="Legenda Char"/>
    <w:basedOn w:val="DefaultParagraphFont"/>
    <w:link w:val="Legenda"/>
    <w:qFormat/>
    <w:rsid w:val="00c43882"/>
    <w:rPr>
      <w:rFonts w:ascii="Arial" w:hAnsi="Arial"/>
      <w:sz w:val="20"/>
    </w:rPr>
  </w:style>
  <w:style w:type="character" w:styleId="VerbatimChar" w:customStyle="1">
    <w:name w:val="Verbatim Char"/>
    <w:basedOn w:val="LegendaChar"/>
    <w:link w:val="SourceCode"/>
    <w:qFormat/>
    <w:rPr>
      <w:rFonts w:ascii="Consolas" w:hAnsi="Consolas"/>
      <w:sz w:val="22"/>
    </w:rPr>
  </w:style>
  <w:style w:type="character" w:styleId="Footnotereference">
    <w:name w:val="footnote reference"/>
    <w:basedOn w:val="LegendaChar"/>
    <w:qFormat/>
    <w:rPr>
      <w:rFonts w:ascii="Arial" w:hAnsi="Arial"/>
      <w:sz w:val="20"/>
      <w:vertAlign w:val="superscript"/>
    </w:rPr>
  </w:style>
  <w:style w:type="character" w:styleId="InternetLink">
    <w:name w:val="Internet Link"/>
    <w:basedOn w:val="LegendaChar"/>
    <w:uiPriority w:val="99"/>
    <w:rPr>
      <w:rFonts w:ascii="Arial" w:hAnsi="Arial"/>
      <w:color w:val="4F81BD" w:themeColor="accent1"/>
      <w:sz w:val="20"/>
    </w:rPr>
  </w:style>
  <w:style w:type="character" w:styleId="KeywordTok" w:customStyle="1">
    <w:name w:val="KeywordTok"/>
    <w:basedOn w:val="VerbatimChar"/>
    <w:qFormat/>
    <w:rPr>
      <w:rFonts w:ascii="Consolas" w:hAnsi="Consolas"/>
      <w:color w:val="204A87"/>
      <w:sz w:val="22"/>
      <w:shd w:fill="F8F8F8" w:val="clear"/>
    </w:rPr>
  </w:style>
  <w:style w:type="character" w:styleId="DataTypeTok" w:customStyle="1">
    <w:name w:val="DataTypeTok"/>
    <w:basedOn w:val="VerbatimChar"/>
    <w:qFormat/>
    <w:rPr>
      <w:rFonts w:ascii="Consolas" w:hAnsi="Consolas"/>
      <w:color w:val="204A87"/>
      <w:sz w:val="22"/>
      <w:shd w:fill="F8F8F8" w:val="clear"/>
    </w:rPr>
  </w:style>
  <w:style w:type="character" w:styleId="DecValTok" w:customStyle="1">
    <w:name w:val="DecVal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BaseNTok" w:customStyle="1">
    <w:name w:val="BaseN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FloatTok" w:customStyle="1">
    <w:name w:val="Float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ConstantTok" w:customStyle="1">
    <w:name w:val="Constant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CharTok" w:customStyle="1">
    <w:name w:val="Char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SpecialCharTok" w:customStyle="1">
    <w:name w:val="SpecialChar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StringTok" w:customStyle="1">
    <w:name w:val="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VerbatimStringTok" w:customStyle="1">
    <w:name w:val="Verbatim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SpecialStringTok" w:customStyle="1">
    <w:name w:val="Special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ImportTok" w:customStyle="1">
    <w:name w:val="ImportTok"/>
    <w:basedOn w:val="VerbatimChar"/>
    <w:qFormat/>
    <w:rPr>
      <w:rFonts w:ascii="Consolas" w:hAnsi="Consolas"/>
      <w:sz w:val="22"/>
      <w:shd w:fill="F8F8F8" w:val="clear"/>
    </w:rPr>
  </w:style>
  <w:style w:type="character" w:styleId="CommentTok" w:customStyle="1">
    <w:name w:val="Comment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DocumentationTok" w:customStyle="1">
    <w:name w:val="Documentation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AnnotationTok" w:customStyle="1">
    <w:name w:val="Annotation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CommentVarTok" w:customStyle="1">
    <w:name w:val="CommentVar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OtherTok" w:customStyle="1">
    <w:name w:val="OtherTok"/>
    <w:basedOn w:val="VerbatimChar"/>
    <w:qFormat/>
    <w:rPr>
      <w:rFonts w:ascii="Consolas" w:hAnsi="Consolas"/>
      <w:color w:val="8F5902"/>
      <w:sz w:val="22"/>
      <w:shd w:fill="F8F8F8" w:val="clear"/>
    </w:rPr>
  </w:style>
  <w:style w:type="character" w:styleId="FunctionTok" w:customStyle="1">
    <w:name w:val="Function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VariableTok" w:customStyle="1">
    <w:name w:val="Variable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ControlFlowTok" w:customStyle="1">
    <w:name w:val="ControlFlowTok"/>
    <w:basedOn w:val="VerbatimChar"/>
    <w:qFormat/>
    <w:rPr>
      <w:rFonts w:ascii="Consolas" w:hAnsi="Consolas"/>
      <w:color w:val="204A87"/>
      <w:sz w:val="22"/>
      <w:shd w:fill="F8F8F8" w:val="clear"/>
    </w:rPr>
  </w:style>
  <w:style w:type="character" w:styleId="OperatorTok" w:customStyle="1">
    <w:name w:val="OperatorTok"/>
    <w:basedOn w:val="VerbatimChar"/>
    <w:qFormat/>
    <w:rPr>
      <w:rFonts w:ascii="Consolas" w:hAnsi="Consolas"/>
      <w:color w:val="CE5C00"/>
      <w:sz w:val="22"/>
      <w:shd w:fill="F8F8F8" w:val="clear"/>
    </w:rPr>
  </w:style>
  <w:style w:type="character" w:styleId="BuiltInTok" w:customStyle="1">
    <w:name w:val="BuiltInTok"/>
    <w:basedOn w:val="VerbatimChar"/>
    <w:qFormat/>
    <w:rPr>
      <w:rFonts w:ascii="Consolas" w:hAnsi="Consolas"/>
      <w:sz w:val="22"/>
      <w:shd w:fill="F8F8F8" w:val="clear"/>
    </w:rPr>
  </w:style>
  <w:style w:type="character" w:styleId="ExtensionTok" w:customStyle="1">
    <w:name w:val="ExtensionTok"/>
    <w:basedOn w:val="VerbatimChar"/>
    <w:qFormat/>
    <w:rPr>
      <w:rFonts w:ascii="Consolas" w:hAnsi="Consolas"/>
      <w:sz w:val="22"/>
      <w:shd w:fill="F8F8F8" w:val="clear"/>
    </w:rPr>
  </w:style>
  <w:style w:type="character" w:styleId="PreprocessorTok" w:customStyle="1">
    <w:name w:val="Preprocessor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AttributeTok" w:customStyle="1">
    <w:name w:val="AttributeTok"/>
    <w:basedOn w:val="VerbatimChar"/>
    <w:qFormat/>
    <w:rPr>
      <w:rFonts w:ascii="Consolas" w:hAnsi="Consolas"/>
      <w:color w:val="C4A000"/>
      <w:sz w:val="22"/>
      <w:shd w:fill="F8F8F8" w:val="clear"/>
    </w:rPr>
  </w:style>
  <w:style w:type="character" w:styleId="RegionMarkerTok" w:customStyle="1">
    <w:name w:val="RegionMarkerTok"/>
    <w:basedOn w:val="VerbatimChar"/>
    <w:qFormat/>
    <w:rPr>
      <w:rFonts w:ascii="Consolas" w:hAnsi="Consolas"/>
      <w:sz w:val="22"/>
      <w:shd w:fill="F8F8F8" w:val="clear"/>
    </w:rPr>
  </w:style>
  <w:style w:type="character" w:styleId="InformationTok" w:customStyle="1">
    <w:name w:val="Information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WarningTok" w:customStyle="1">
    <w:name w:val="Warning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AlertTok" w:customStyle="1">
    <w:name w:val="AlertTok"/>
    <w:basedOn w:val="VerbatimChar"/>
    <w:qFormat/>
    <w:rPr>
      <w:rFonts w:ascii="Consolas" w:hAnsi="Consolas"/>
      <w:color w:val="EF2929"/>
      <w:sz w:val="22"/>
      <w:shd w:fill="F8F8F8" w:val="clear"/>
    </w:rPr>
  </w:style>
  <w:style w:type="character" w:styleId="ErrorTok" w:customStyle="1">
    <w:name w:val="ErrorTok"/>
    <w:basedOn w:val="VerbatimChar"/>
    <w:qFormat/>
    <w:rPr>
      <w:rFonts w:ascii="Consolas" w:hAnsi="Consolas"/>
      <w:color w:val="A40000"/>
      <w:sz w:val="22"/>
      <w:shd w:fill="F8F8F8" w:val="clear"/>
    </w:rPr>
  </w:style>
  <w:style w:type="character" w:styleId="NormalTok" w:customStyle="1">
    <w:name w:val="NormalTok"/>
    <w:basedOn w:val="VerbatimChar"/>
    <w:qFormat/>
    <w:rPr>
      <w:rFonts w:ascii="Consolas" w:hAnsi="Consolas"/>
      <w:sz w:val="22"/>
      <w:shd w:fill="F8F8F8" w:val="clear"/>
    </w:rPr>
  </w:style>
  <w:style w:type="character" w:styleId="CorpodetextoChar" w:customStyle="1">
    <w:name w:val="Corpo de texto Char"/>
    <w:basedOn w:val="DefaultParagraphFont"/>
    <w:link w:val="Corpodetexto"/>
    <w:qFormat/>
    <w:rsid w:val="002a48de"/>
    <w:rPr>
      <w:rFonts w:ascii="Arial" w:hAnsi="Arial"/>
      <w:sz w:val="22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5171bc"/>
    <w:rPr>
      <w:rFonts w:ascii="Arial" w:hAnsi="Arial"/>
    </w:rPr>
  </w:style>
  <w:style w:type="character" w:styleId="RodapChar" w:customStyle="1">
    <w:name w:val="Rodapé Char"/>
    <w:basedOn w:val="DefaultParagraphFont"/>
    <w:link w:val="Rodap"/>
    <w:uiPriority w:val="99"/>
    <w:qFormat/>
    <w:rsid w:val="005171bc"/>
    <w:rPr>
      <w:rFonts w:ascii="Arial" w:hAnsi="Arial"/>
    </w:rPr>
  </w:style>
  <w:style w:type="character" w:styleId="IndexLink">
    <w:name w:val="Index Link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Lohit Devanagari"/>
      <w:sz w:val="28"/>
      <w:szCs w:val="28"/>
    </w:rPr>
  </w:style>
  <w:style w:type="paragraph" w:styleId="TextBody">
    <w:name w:val="Body Text"/>
    <w:basedOn w:val="Normal"/>
    <w:link w:val="CorpodetextoChar"/>
    <w:qFormat/>
    <w:rsid w:val="002a48de"/>
    <w:pPr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qFormat/>
    <w:pPr/>
    <w:rPr/>
  </w:style>
  <w:style w:type="paragraph" w:styleId="Compact" w:customStyle="1">
    <w:name w:val="Compact"/>
    <w:basedOn w:val="TextBody"/>
    <w:qFormat/>
    <w:rsid w:val="00c67dda"/>
    <w:pPr>
      <w:spacing w:before="0" w:after="0"/>
      <w:jc w:val="left"/>
    </w:pPr>
    <w:rPr>
      <w:sz w:val="20"/>
    </w:rPr>
  </w:style>
  <w:style w:type="paragraph" w:styleId="Title">
    <w:name w:val="Title"/>
    <w:basedOn w:val="Normal"/>
    <w:qFormat/>
    <w:rsid w:val="0071616b"/>
    <w:pPr>
      <w:keepNext w:val="true"/>
      <w:keepLines/>
      <w:spacing w:before="480" w:after="240"/>
      <w:jc w:val="center"/>
    </w:pPr>
    <w:rPr>
      <w:rFonts w:eastAsia="" w:cs="" w:cstheme="majorBidi" w:eastAsiaTheme="majorEastAsia"/>
      <w:b/>
      <w:bCs/>
      <w:sz w:val="36"/>
      <w:szCs w:val="36"/>
    </w:rPr>
  </w:style>
  <w:style w:type="paragraph" w:styleId="Subtitle">
    <w:name w:val="Subtitle"/>
    <w:basedOn w:val="Title"/>
    <w:qFormat/>
    <w:rsid w:val="00a71088"/>
    <w:pPr>
      <w:spacing w:before="240" w:after="240"/>
    </w:pPr>
    <w:rPr>
      <w:sz w:val="24"/>
      <w:szCs w:val="30"/>
    </w:rPr>
  </w:style>
  <w:style w:type="paragraph" w:styleId="Author" w:customStyle="1">
    <w:name w:val="Author"/>
    <w:qFormat/>
    <w:rsid w:val="001766fd"/>
    <w:pPr>
      <w:keepNext w:val="true"/>
      <w:keepLines/>
      <w:widowControl/>
      <w:bidi w:val="0"/>
      <w:jc w:val="center"/>
    </w:pPr>
    <w:rPr>
      <w:rFonts w:ascii="Arial" w:hAnsi="Arial" w:eastAsia="Cambria" w:cs="" w:cstheme="minorBidi" w:eastAsiaTheme="minorHAnsi"/>
      <w:color w:val="00000A"/>
      <w:kern w:val="0"/>
      <w:sz w:val="22"/>
      <w:szCs w:val="24"/>
      <w:lang w:val="en-US" w:eastAsia="en-US" w:bidi="ar-SA"/>
    </w:rPr>
  </w:style>
  <w:style w:type="paragraph" w:styleId="Date">
    <w:name w:val="Date"/>
    <w:qFormat/>
    <w:rsid w:val="0071616b"/>
    <w:pPr>
      <w:keepNext w:val="true"/>
      <w:keepLines/>
      <w:widowControl/>
      <w:bidi w:val="0"/>
      <w:jc w:val="center"/>
    </w:pPr>
    <w:rPr>
      <w:rFonts w:ascii="Arial" w:hAnsi="Arial" w:eastAsia="Cambria" w:cs="" w:cstheme="minorBidi" w:eastAsiaTheme="minorHAnsi"/>
      <w:color w:val="00000A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pPr/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28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LegendaChar"/>
    <w:qFormat/>
    <w:rsid w:val="00c43882"/>
    <w:pPr>
      <w:spacing w:before="280" w:after="120"/>
      <w:jc w:val="center"/>
    </w:pPr>
    <w:rPr>
      <w:sz w:val="20"/>
    </w:rPr>
  </w:style>
  <w:style w:type="paragraph" w:styleId="TableCaption" w:customStyle="1">
    <w:name w:val="Table Caption"/>
    <w:basedOn w:val="Caption1"/>
    <w:qFormat/>
    <w:rsid w:val="0085289d"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 w:val="true"/>
    </w:pPr>
    <w:rPr/>
  </w:style>
  <w:style w:type="paragraph" w:styleId="TOCHeading">
    <w:name w:val="TOC Heading"/>
    <w:basedOn w:val="Heading2"/>
    <w:uiPriority w:val="39"/>
    <w:unhideWhenUsed/>
    <w:qFormat/>
    <w:rsid w:val="00d12482"/>
    <w:pPr>
      <w:numPr>
        <w:ilvl w:val="0"/>
        <w:numId w:val="0"/>
      </w:numPr>
      <w:spacing w:before="240" w:after="240"/>
      <w:jc w:val="center"/>
    </w:pPr>
    <w:rPr>
      <w:b w:val="false"/>
      <w:bCs w:val="false"/>
      <w:caps/>
    </w:rPr>
  </w:style>
  <w:style w:type="paragraph" w:styleId="SourceCode" w:customStyle="1">
    <w:name w:val="Source Code"/>
    <w:basedOn w:val="Normal"/>
    <w:link w:val="VerbatimChar"/>
    <w:qFormat/>
    <w:pPr>
      <w:shd w:val="clear" w:color="auto" w:fill="F8F8F8"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c92d24"/>
    <w:pPr>
      <w:spacing w:beforeAutospacing="0" w:before="120" w:afterAutospacing="0" w:after="12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ac1495"/>
    <w:pPr>
      <w:tabs>
        <w:tab w:val="left" w:pos="880" w:leader="none"/>
        <w:tab w:val="right" w:pos="9628" w:leader="dot"/>
      </w:tabs>
      <w:spacing w:beforeAutospacing="0" w:before="120" w:afterAutospacing="0" w:after="12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c92d24"/>
    <w:pPr>
      <w:spacing w:beforeAutospacing="0" w:before="120" w:afterAutospacing="0" w:after="120"/>
    </w:pPr>
    <w:rPr/>
  </w:style>
  <w:style w:type="paragraph" w:styleId="Header">
    <w:name w:val="Header"/>
    <w:basedOn w:val="Normal"/>
    <w:link w:val="CabealhoChar"/>
    <w:uiPriority w:val="99"/>
    <w:unhideWhenUsed/>
    <w:rsid w:val="005171bc"/>
    <w:pPr>
      <w:tabs>
        <w:tab w:val="center" w:pos="4419" w:leader="none"/>
        <w:tab w:val="right" w:pos="8838" w:leader="none"/>
      </w:tabs>
      <w:spacing w:before="280" w:after="0"/>
    </w:pPr>
    <w:rPr/>
  </w:style>
  <w:style w:type="paragraph" w:styleId="Footer">
    <w:name w:val="Footer"/>
    <w:basedOn w:val="Normal"/>
    <w:link w:val="RodapChar"/>
    <w:uiPriority w:val="99"/>
    <w:unhideWhenUsed/>
    <w:rsid w:val="005171bc"/>
    <w:pPr>
      <w:tabs>
        <w:tab w:val="center" w:pos="4419" w:leader="none"/>
        <w:tab w:val="right" w:pos="8838" w:leader="none"/>
      </w:tabs>
      <w:spacing w:before="28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a62f33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">
    <w:name w:val="TableNormal"/>
    <w:basedOn w:val="Tabelanormal"/>
    <w:uiPriority w:val="99"/>
    <w:rsid w:val="000004aa"/>
    <w:pPr>
      <w:spacing w:after="0" w:line="240" w:lineRule="auto"/>
      <w:jc w:val="center"/>
    </w:pPr>
    <w:rPr>
      <w:sz w:val="22"/>
    </w:rPr>
    <w:tblPr>
      <w:tbl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  <w:insideH w:val="single" w:color="auto" w:sz="2" w:space="0"/>
        <w:insideV w:val="single" w:color="auto" w:sz="2" w:space="0"/>
      </w:tblBorders>
      <w:tblCellMar>
        <w:top w:w="57" w:type="dxa"/>
        <w:left w:w="113" w:type="dxa"/>
        <w:bottom w:w="57" w:type="dxa"/>
        <w:right w:w="113" w:type="dxa"/>
      </w:tblCellMar>
    </w:tblPr>
    <w:tcPr>
      <w:vAlign w:val="center"/>
    </w:tcPr>
  </w:style>
  <w:style w:type="table" w:styleId="TabeladeGradeClara">
    <w:name w:val="Grid Table Light"/>
    <w:basedOn w:val="Tabelanormal"/>
    <w:rsid w:val="00e5058c"/>
    <w:pPr>
      <w:spacing w:after="0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elaSimples1">
    <w:name w:val="Plain Table 1"/>
    <w:basedOn w:val="Tabelanormal"/>
    <w:rsid w:val="00184a93"/>
    <w:pPr>
      <w:spacing w:after="0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Application>LibreOffice/5.4.2.2$Linux_X86_64 LibreOffice_project/40m0$Build-2</Application>
  <Pages>4</Pages>
  <Words>1257</Words>
  <Characters>6238</Characters>
  <CharactersWithSpaces>7255</CharactersWithSpaces>
  <Paragraphs>221</Paragraphs>
  <Company>Bio-Manguinhos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2018-01-27T11:51:42Z</dcterms:created>
  <dc:creator>De: Felipe Figueiredo Para: Thiago Alberto Vivacqua</dc:creator>
  <dc:description/>
  <dc:language>pt-BR</dc:language>
  <cp:lastModifiedBy>Felipe Figueiredo</cp:lastModifiedBy>
  <dcterms:modified xsi:type="dcterms:W3CDTF">2018-01-27T09:53:46Z</dcterms:modified>
  <cp:revision>1</cp:revision>
  <dc:subject/>
  <dc:title>Análise de dados - Residência em Ortopedia de Alexandre Romano e Leandro Jardim (2018)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Bio-Manguinhos</vt:lpwstr>
  </property>
</Properties>
</file>