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00" w:after="100"/>
        <w:rPr>
          <w:lang w:val="pt-BR"/>
        </w:rPr>
      </w:pPr>
      <w:r>
        <w:rPr>
          <w:lang w:val="pt-BR"/>
        </w:rPr>
        <w:t>Título</w:t>
      </w:r>
    </w:p>
    <w:p>
      <w:pPr>
        <w:pStyle w:val="Subtitle"/>
        <w:rPr>
          <w:lang w:val="pt-BR"/>
        </w:rPr>
      </w:pPr>
      <w:r>
        <w:rPr>
          <w:lang w:val="pt-BR"/>
        </w:rPr>
        <w:t>Subtítulo</w:t>
      </w:r>
    </w:p>
    <w:p>
      <w:pPr>
        <w:pStyle w:val="Author"/>
        <w:rPr>
          <w:lang w:val="pt-BR"/>
        </w:rPr>
      </w:pPr>
      <w:r>
        <w:rPr>
          <w:lang w:val="pt-BR"/>
        </w:rPr>
        <w:t>Autor</w:t>
      </w:r>
    </w:p>
    <w:p>
      <w:pPr>
        <w:pStyle w:val="Date"/>
        <w:rPr>
          <w:lang w:val="pt-BR"/>
        </w:rPr>
      </w:pPr>
      <w:r>
        <w:rPr>
          <w:lang w:val="pt-BR"/>
        </w:rPr>
        <w:t>Data</w:t>
      </w:r>
    </w:p>
    <w:sdt>
      <w:sdtPr>
        <w:docPartObj>
          <w:docPartGallery w:val="Table of Contents"/>
          <w:docPartUnique w:val="true"/>
        </w:docPartObj>
        <w:id w:val="1425656566"/>
      </w:sdtPr>
      <w:sdtContent>
        <w:p>
          <w:pPr>
            <w:pStyle w:val="TOCHeading"/>
            <w:rPr/>
          </w:pPr>
          <w:r>
            <w:rPr>
              <w:rFonts w:cs="Arial"/>
              <w:lang w:val="pt-BR"/>
            </w:rPr>
            <w:t>SUMÁRIO</w:t>
          </w:r>
        </w:p>
        <w:p>
          <w:pPr>
            <w:pStyle w:val="Contents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4140427">
            <w:r>
              <w:rPr>
                <w:webHidden/>
                <w:rStyle w:val="IndexLink"/>
                <w:lang w:val="pt-BR"/>
              </w:rPr>
              <w:t>1.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/>
              </w:rPr>
              <w:t>Título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_Toc504140427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 w:eastAsia="pt-BR"/>
            </w:rPr>
          </w:pPr>
          <w:hyperlink w:anchor="_Toc504140428">
            <w:r>
              <w:rPr>
                <w:webHidden/>
                <w:rStyle w:val="IndexLink"/>
                <w:lang w:val="pt-BR"/>
              </w:rPr>
              <w:t>2.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/>
              </w:rPr>
              <w:t>Título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_Toc504140428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mbria" w:hAnsi="Cambria" w:eastAsia="" w:asciiTheme="minorHAnsi" w:eastAsiaTheme="minorEastAsia" w:hAnsiTheme="minorHAnsi"/>
              <w:szCs w:val="22"/>
              <w:lang w:val="pt-BR" w:eastAsia="pt-BR"/>
            </w:rPr>
          </w:pPr>
          <w:hyperlink w:anchor="_Toc504140429">
            <w:r>
              <w:rPr>
                <w:webHidden/>
                <w:rStyle w:val="IndexLink"/>
                <w:lang w:val="pt-BR"/>
              </w:rPr>
              <w:t>2.1.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/>
              </w:rPr>
              <w:t>Título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_Toc504140429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 w:eastAsia="pt-BR"/>
            </w:rPr>
          </w:pPr>
          <w:hyperlink w:anchor="_Toc504140430">
            <w:r>
              <w:rPr>
                <w:webHidden/>
                <w:rStyle w:val="IndexLink"/>
                <w:lang w:val="pt-BR"/>
              </w:rPr>
              <w:t>2.1.1.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/>
              </w:rPr>
              <w:t>Título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_Toc504140430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rPr>
          <w:lang w:val="pt-BR"/>
        </w:rPr>
      </w:pPr>
      <w:bookmarkStart w:id="0" w:name="_Toc504140427"/>
      <w:bookmarkStart w:id="1" w:name="objective"/>
      <w:bookmarkEnd w:id="1"/>
      <w:bookmarkEnd w:id="0"/>
      <w:r>
        <w:rPr>
          <w:lang w:val="pt-BR"/>
        </w:rPr>
        <w:t>Título 1</w:t>
      </w:r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Heading1"/>
        <w:numPr>
          <w:ilvl w:val="0"/>
          <w:numId w:val="2"/>
        </w:numPr>
        <w:rPr>
          <w:lang w:val="pt-BR"/>
        </w:rPr>
      </w:pPr>
      <w:bookmarkStart w:id="2" w:name="_Toc504140428"/>
      <w:bookmarkStart w:id="3" w:name="methods"/>
      <w:bookmarkEnd w:id="3"/>
      <w:bookmarkEnd w:id="2"/>
      <w:r>
        <w:rPr>
          <w:lang w:val="pt-BR"/>
        </w:rPr>
        <w:t>Título 1</w:t>
      </w:r>
    </w:p>
    <w:p>
      <w:pPr>
        <w:pStyle w:val="Heading2"/>
        <w:numPr>
          <w:ilvl w:val="1"/>
          <w:numId w:val="2"/>
        </w:numPr>
        <w:rPr>
          <w:lang w:val="pt-BR"/>
        </w:rPr>
      </w:pPr>
      <w:bookmarkStart w:id="4" w:name="_Toc504140429"/>
      <w:bookmarkEnd w:id="4"/>
      <w:r>
        <w:rPr>
          <w:lang w:val="pt-BR"/>
        </w:rPr>
        <w:t>Título 2</w:t>
      </w:r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Heading3"/>
        <w:numPr>
          <w:ilvl w:val="2"/>
          <w:numId w:val="2"/>
        </w:numPr>
        <w:rPr>
          <w:lang w:val="pt-BR"/>
        </w:rPr>
      </w:pPr>
      <w:bookmarkStart w:id="5" w:name="_Toc504140430"/>
      <w:bookmarkEnd w:id="5"/>
      <w:r>
        <w:rPr>
          <w:lang w:val="pt-BR"/>
        </w:rPr>
        <w:t>Título 3</w:t>
      </w:r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Heading4"/>
        <w:numPr>
          <w:ilvl w:val="3"/>
          <w:numId w:val="2"/>
        </w:numPr>
        <w:rPr>
          <w:lang w:val="pt-BR"/>
        </w:rPr>
      </w:pPr>
      <w:r>
        <w:rPr>
          <w:lang w:val="pt-BR"/>
        </w:rPr>
        <w:t>Título 4</w:t>
      </w:r>
    </w:p>
    <w:p>
      <w:pPr>
        <w:pStyle w:val="Heading5"/>
        <w:numPr>
          <w:ilvl w:val="4"/>
          <w:numId w:val="2"/>
        </w:numPr>
        <w:rPr>
          <w:lang w:val="pt-BR"/>
        </w:rPr>
      </w:pPr>
      <w:r>
        <w:rPr>
          <w:lang w:val="pt-BR"/>
        </w:rPr>
        <w:t>Título 5</w:t>
      </w:r>
    </w:p>
    <w:p>
      <w:pPr>
        <w:pStyle w:val="Heading6"/>
        <w:numPr>
          <w:ilvl w:val="5"/>
          <w:numId w:val="2"/>
        </w:numPr>
        <w:rPr>
          <w:lang w:val="pt-BR"/>
        </w:rPr>
      </w:pPr>
      <w:r>
        <w:rPr>
          <w:lang w:val="pt-BR"/>
        </w:rPr>
        <w:t>Título 6</w:t>
      </w:r>
    </w:p>
    <w:p>
      <w:pPr>
        <w:pStyle w:val="Normal"/>
        <w:rPr>
          <w:lang w:val="pt-BR"/>
        </w:rPr>
      </w:pPr>
      <w:r>
        <w:rPr>
          <w:lang w:val="pt-BR"/>
        </w:rPr>
        <w:t>Normal text Normal text Normal text Normal text Normal text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extBody"/>
        <w:rPr>
          <w:lang w:val="pt-BR"/>
        </w:rPr>
      </w:pPr>
      <w:r>
        <w:rPr>
          <w:lang w:val="pt-BR"/>
        </w:rPr>
        <w:t>Table</w:t>
      </w:r>
    </w:p>
    <w:p>
      <w:pPr>
        <w:pStyle w:val="TableCaption"/>
        <w:rPr/>
      </w:pPr>
      <w:r>
        <w:rPr>
          <w:lang w:val="pt-BR"/>
        </w:rPr>
        <w:t xml:space="preserve">Table </w:t>
      </w:r>
      <w:r>
        <w:rPr>
          <w:lang w:val="pt-BR"/>
        </w:rPr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 xml:space="preserve"> Legenda da tabela</w:t>
      </w:r>
    </w:p>
    <w:tbl>
      <w:tblPr>
        <w:tblStyle w:val="TableNormal"/>
        <w:tblW w:w="882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1"/>
        <w:gridCol w:w="1471"/>
        <w:gridCol w:w="1471"/>
        <w:gridCol w:w="1469"/>
        <w:gridCol w:w="1472"/>
        <w:gridCol w:w="1473"/>
      </w:tblGrid>
      <w:tr>
        <w:trPr>
          <w:trHeight w:val="284" w:hRule="exact"/>
        </w:trPr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</w:tbl>
    <w:p>
      <w:pPr>
        <w:pStyle w:val="Normal"/>
        <w:tabs>
          <w:tab w:val="left" w:pos="3901" w:leader="none"/>
        </w:tabs>
        <w:spacing w:before="280" w:after="280"/>
        <w:rPr/>
      </w:pPr>
      <w:r>
        <w:rPr>
          <w:lang w:val="pt-BR"/>
        </w:rPr>
        <w:t>Normal 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28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498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175"/>
      <w:gridCol w:w="232"/>
      <w:gridCol w:w="1355"/>
      <w:gridCol w:w="232"/>
      <w:gridCol w:w="1259"/>
      <w:gridCol w:w="232"/>
      <w:gridCol w:w="915"/>
      <w:gridCol w:w="231"/>
      <w:gridCol w:w="866"/>
    </w:tblGrid>
    <w:tr>
      <w:trPr>
        <w:trHeight w:val="457" w:hRule="atLeast"/>
        <w:cantSplit w:val="true"/>
      </w:trPr>
      <w:tc>
        <w:tcPr>
          <w:tcW w:w="4175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rPr>
              <w:rFonts w:cs="Arial"/>
              <w:b/>
              <w:b/>
              <w:bCs/>
              <w:sz w:val="20"/>
              <w:szCs w:val="20"/>
              <w:lang w:val="pt-BR"/>
            </w:rPr>
          </w:pPr>
          <w:r>
            <w:rPr>
              <w:rFonts w:cs="Arial"/>
              <w:b/>
              <w:bCs/>
              <w:sz w:val="20"/>
              <w:szCs w:val="20"/>
              <w:lang w:val="pt-BR"/>
            </w:rPr>
          </w:r>
        </w:p>
      </w:tc>
      <w:tc>
        <w:tcPr>
          <w:tcW w:w="232" w:type="dxa"/>
          <w:tcBorders/>
          <w:shd w:fill="auto" w:val="clear"/>
          <w:tcMar>
            <w:left w:w="0" w:type="dxa"/>
            <w:right w:w="0" w:type="dxa"/>
          </w:tcMar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1355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</w:r>
        </w:p>
      </w:tc>
      <w:tc>
        <w:tcPr>
          <w:tcW w:w="232" w:type="dxa"/>
          <w:tcBorders/>
          <w:shd w:fill="auto" w:val="clear"/>
        </w:tcPr>
        <w:p>
          <w:pPr>
            <w:pStyle w:val="Header"/>
            <w:spacing w:beforeAutospacing="0" w:before="0" w:afterAutospacing="0" w:after="0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</w:r>
        </w:p>
      </w:tc>
      <w:tc>
        <w:tcPr>
          <w:tcW w:w="1259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232" w:type="dxa"/>
          <w:tcBorders/>
          <w:shd w:fill="auto" w:val="clea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915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231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</w:r>
        </w:p>
      </w:tc>
      <w:tc>
        <w:tcPr>
          <w:tcW w:w="866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</w:tr>
  </w:tbl>
  <w:p>
    <w:pPr>
      <w:pStyle w:val="TextBody"/>
      <w:spacing w:before="280" w:after="28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/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spacing w:before="280" w:after="0"/>
            <w:jc w:val="center"/>
            <w:rPr/>
          </w:pPr>
          <w:r>
            <w:rPr/>
          </w:r>
        </w:p>
      </w:tc>
    </w:tr>
    <w:tr>
      <w:trPr/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80" w:after="0"/>
            <w:jc w:val="center"/>
            <w:rPr/>
          </w:pPr>
          <w:r>
            <w:rPr>
              <w:b/>
            </w:rPr>
            <w:t>https://github.com/philsf-biostat/analise_dados_AL_2018</w:t>
          </w:r>
        </w:p>
      </w:tc>
    </w:tr>
  </w:tbl>
  <w:sdt>
    <w:sdtPr>
      <w:docPartObj>
        <w:docPartGallery w:val="Watermarks"/>
        <w:docPartUnique w:val="true"/>
      </w:docPartObj>
      <w:id w:val="1129003082"/>
    </w:sdtPr>
    <w:sdtContent>
      <w:p>
        <w:pPr>
          <w:pStyle w:val="Normal"/>
          <w:spacing w:beforeAutospacing="0" w:before="0" w:after="0"/>
          <w:rPr/>
        </w:pPr>
        <w:r>
          <w:rPr/>
          <mc:AlternateContent>
            <mc:Choice Requires="wps">
              <w:drawing>
                <wp:inline distT="0" distB="0" distL="114300" distR="114300">
                  <wp:extent cx="1270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72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#a0a0a0" stroked="f" style="position:absolute;margin-left:0pt;margin-top:0pt;width:0pt;height:1.45pt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7pt;margin-top:210.45pt;width:412.35pt;height:247.4pt;rotation:315;mso-position-horizontal:center;mso-position-vertical:center;mso-position-vertical-relative:margin" type="shapetype_136">
              <v:path textpathok="t"/>
              <v:textpath on="t" fitshape="t" string="RASCUNHO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54" w:hanging="454"/>
      </w:pPr>
    </w:lvl>
    <w:lvl w:ilvl="1">
      <w:start w:val="1"/>
      <w:pStyle w:val="Heading2"/>
      <w:numFmt w:val="decimal"/>
      <w:lvlText w:val="%1.%2."/>
      <w:lvlJc w:val="left"/>
      <w:pPr>
        <w:ind w:left="454" w:hanging="454"/>
      </w:pPr>
    </w:lvl>
    <w:lvl w:ilvl="2">
      <w:start w:val="1"/>
      <w:pStyle w:val="Heading3"/>
      <w:numFmt w:val="decimal"/>
      <w:lvlText w:val="%1.%2.%3."/>
      <w:lvlJc w:val="left"/>
      <w:pPr>
        <w:ind w:left="454" w:hanging="454"/>
      </w:pPr>
    </w:lvl>
    <w:lvl w:ilvl="3">
      <w:start w:val="1"/>
      <w:pStyle w:val="Heading4"/>
      <w:numFmt w:val="decimal"/>
      <w:lvlText w:val="%1.%2.%3.%4."/>
      <w:lvlJc w:val="left"/>
      <w:pPr>
        <w:ind w:left="454" w:hanging="454"/>
      </w:pPr>
    </w:lvl>
    <w:lvl w:ilvl="4">
      <w:start w:val="1"/>
      <w:pStyle w:val="Heading5"/>
      <w:numFmt w:val="decimal"/>
      <w:lvlText w:val="%1.%2.%3.%4.%5."/>
      <w:lvlJc w:val="left"/>
      <w:pPr>
        <w:ind w:left="454" w:hanging="454"/>
      </w:pPr>
    </w:lvl>
    <w:lvl w:ilvl="5">
      <w:start w:val="1"/>
      <w:pStyle w:val="Heading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Heading3">
    <w:name w:val="Heading 3"/>
    <w:basedOn w:val="Heading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Heading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Heading5">
    <w:name w:val="Heading 5"/>
    <w:basedOn w:val="Heading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Heading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LegendaChar"/>
    <w:qFormat/>
    <w:rPr>
      <w:rFonts w:ascii="Arial" w:hAnsi="Arial"/>
      <w:sz w:val="20"/>
      <w:vertAlign w:val="superscript"/>
    </w:rPr>
  </w:style>
  <w:style w:type="character" w:styleId="InternetLink">
    <w:name w:val="Internet Link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CorpodetextoChar"/>
    <w:qFormat/>
    <w:rsid w:val="002a48de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rsid w:val="00c67dda"/>
    <w:pPr>
      <w:spacing w:before="0" w:after="0"/>
      <w:jc w:val="left"/>
    </w:pPr>
    <w:rPr>
      <w:sz w:val="20"/>
    </w:rPr>
  </w:style>
  <w:style w:type="paragraph" w:styleId="Title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1"/>
    <w:qFormat/>
    <w:rsid w:val="0085289d"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Header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Footer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FF3C-657A-4446-8A2D-BB8C1171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LibreOffice/5.4.2.2$Linux_X86_64 LibreOffice_project/40m0$Build-2</Application>
  <Pages>1</Pages>
  <Words>79</Words>
  <Characters>467</Characters>
  <CharactersWithSpaces>510</CharactersWithSpaces>
  <Paragraphs>33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2017-01-17T16:50:00Z</dcterms:created>
  <dc:creator>Felipe Figueiredo</dc:creator>
  <dc:description/>
  <dc:language>pt-BR</dc:language>
  <cp:lastModifiedBy>Felipe Figueiredo</cp:lastModifiedBy>
  <dcterms:modified xsi:type="dcterms:W3CDTF">2018-01-26T00:22:46Z</dcterms:modified>
  <cp:revision>103</cp:revision>
  <dc:subject/>
  <dc:title>Provisional control ranges for the uPRN assay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