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280"/>
        <w:contextualSpacing/>
        <w:rPr/>
      </w:pPr>
      <w:bookmarkStart w:id="0" w:name="_GoBack"/>
      <w:bookmarkEnd w:id="0"/>
      <w:r>
        <w:rPr/>
        <w:t>Análise exploratória de dados de pacientes com pubalgia atlética no Brasil</w:t>
      </w:r>
    </w:p>
    <w:p>
      <w:pPr>
        <w:pStyle w:val="Subttulo"/>
        <w:spacing w:before="280" w:after="280"/>
        <w:rPr/>
      </w:pPr>
      <w:r>
        <w:rPr>
          <w:rFonts w:eastAsia="" w:cs="" w:eastAsiaTheme="minorEastAsia"/>
          <w:b/>
          <w:color w:val="auto"/>
          <w:spacing w:val="15"/>
          <w:kern w:val="0"/>
          <w:sz w:val="20"/>
          <w:szCs w:val="22"/>
          <w:lang w:val="pt-BR" w:eastAsia="en-US" w:bidi="ar-SA"/>
        </w:rPr>
        <w:t>DOCUMENTO</w:t>
      </w:r>
      <w:r>
        <w:rPr/>
        <w:t>: analise_dados_RG_2018-v01</w:t>
      </w:r>
    </w:p>
    <w:p>
      <w:pPr>
        <w:pStyle w:val="Author"/>
        <w:rPr>
          <w:lang w:val="pt-BR"/>
        </w:rPr>
      </w:pPr>
      <w:r>
        <w:rPr>
          <w:b/>
          <w:lang w:val="pt-BR"/>
        </w:rPr>
        <w:t>De:</w:t>
      </w:r>
      <w:r>
        <w:rPr>
          <w:lang w:val="pt-BR"/>
        </w:rPr>
        <w:t xml:space="preserve"> Felipe Figueiredo </w:t>
      </w:r>
      <w:r>
        <w:rPr>
          <w:b/>
          <w:lang w:val="pt-BR"/>
        </w:rPr>
        <w:t>Para:</w:t>
      </w:r>
      <w:r>
        <w:rPr>
          <w:lang w:val="pt-BR"/>
        </w:rPr>
        <w:t xml:space="preserve"> Rodrigo Góes</w:t>
      </w:r>
    </w:p>
    <w:p>
      <w:pPr>
        <w:pStyle w:val="Date"/>
        <w:spacing w:before="280" w:after="280"/>
        <w:rPr/>
      </w:pPr>
      <w:r>
        <w:rPr>
          <w:b/>
        </w:rPr>
        <w:t>Data:</w:t>
      </w:r>
      <w:r>
        <w:rPr/>
        <w:t xml:space="preserve"> 2019-07-12</w:t>
      </w:r>
    </w:p>
    <w:sdt>
      <w:sdtPr>
        <w:docPartObj>
          <w:docPartGallery w:val="Table of Contents"/>
          <w:docPartUnique w:val="true"/>
        </w:docPartObj>
      </w:sdtPr>
      <w:sdtContent>
        <w:p>
          <w:pPr>
            <w:pStyle w:val="TOAHeading"/>
            <w:suppressLineNumbers/>
            <w:spacing w:before="280" w:after="280"/>
            <w:ind w:left="0" w:hanging="0"/>
            <w:rPr>
              <w:b/>
              <w:b/>
              <w:bCs/>
              <w:sz w:val="32"/>
              <w:szCs w:val="32"/>
            </w:rPr>
          </w:pPr>
          <w:r>
            <w:rPr>
              <w:b/>
              <w:bCs/>
              <w:sz w:val="32"/>
              <w:szCs w:val="32"/>
            </w:rPr>
            <w:t>Sumário</w:t>
          </w:r>
        </w:p>
        <w:p>
          <w:pPr>
            <w:pStyle w:val="Sumrio1"/>
            <w:tabs>
              <w:tab w:val="clear" w:pos="720"/>
              <w:tab w:val="right" w:pos="10630"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4841_2273284388">
            <w:r>
              <w:rPr>
                <w:webHidden/>
                <w:rStyle w:val="Vnculodendice"/>
                <w:vanish w:val="false"/>
              </w:rPr>
              <w:t>1 Lista de abreviaturas</w:t>
              <w:tab/>
              <w:t>2</w:t>
            </w:r>
          </w:hyperlink>
        </w:p>
        <w:p>
          <w:pPr>
            <w:pStyle w:val="Sumrio1"/>
            <w:tabs>
              <w:tab w:val="clear" w:pos="720"/>
              <w:tab w:val="right" w:pos="10630" w:leader="dot"/>
            </w:tabs>
            <w:rPr/>
          </w:pPr>
          <w:hyperlink w:anchor="__RefHeading___Toc4843_2273284388">
            <w:r>
              <w:rPr>
                <w:webHidden/>
                <w:rStyle w:val="Vnculodendice"/>
                <w:vanish w:val="false"/>
              </w:rPr>
              <w:t>2 Introdução</w:t>
              <w:tab/>
              <w:t>2</w:t>
            </w:r>
          </w:hyperlink>
        </w:p>
        <w:p>
          <w:pPr>
            <w:pStyle w:val="Sumrio2"/>
            <w:tabs>
              <w:tab w:val="clear" w:pos="720"/>
              <w:tab w:val="right" w:pos="10630" w:leader="dot"/>
            </w:tabs>
            <w:rPr/>
          </w:pPr>
          <w:hyperlink w:anchor="__RefHeading___Toc4845_2273284388">
            <w:r>
              <w:rPr>
                <w:webHidden/>
                <w:rStyle w:val="Vnculodendice"/>
                <w:vanish w:val="false"/>
              </w:rPr>
              <w:t>2.1 Objetivos</w:t>
              <w:tab/>
              <w:t>2</w:t>
            </w:r>
          </w:hyperlink>
        </w:p>
        <w:p>
          <w:pPr>
            <w:pStyle w:val="Sumrio2"/>
            <w:tabs>
              <w:tab w:val="clear" w:pos="720"/>
              <w:tab w:val="right" w:pos="10630" w:leader="dot"/>
            </w:tabs>
            <w:rPr/>
          </w:pPr>
          <w:hyperlink w:anchor="__RefHeading___Toc4847_2273284388">
            <w:r>
              <w:rPr>
                <w:webHidden/>
                <w:rStyle w:val="Vnculodendice"/>
                <w:vanish w:val="false"/>
              </w:rPr>
              <w:t>2.2 Recepção e tratamento dos dados</w:t>
              <w:tab/>
              <w:t>2</w:t>
            </w:r>
          </w:hyperlink>
        </w:p>
        <w:p>
          <w:pPr>
            <w:pStyle w:val="Sumrio1"/>
            <w:tabs>
              <w:tab w:val="clear" w:pos="720"/>
              <w:tab w:val="right" w:pos="10630" w:leader="dot"/>
            </w:tabs>
            <w:rPr/>
          </w:pPr>
          <w:hyperlink w:anchor="__RefHeading___Toc4849_2273284388">
            <w:r>
              <w:rPr>
                <w:webHidden/>
                <w:rStyle w:val="Vnculodendice"/>
                <w:vanish w:val="false"/>
              </w:rPr>
              <w:t>3 Metodologia</w:t>
              <w:tab/>
              <w:t>2</w:t>
            </w:r>
          </w:hyperlink>
        </w:p>
        <w:p>
          <w:pPr>
            <w:pStyle w:val="Sumrio1"/>
            <w:tabs>
              <w:tab w:val="clear" w:pos="720"/>
              <w:tab w:val="right" w:pos="10630" w:leader="dot"/>
            </w:tabs>
            <w:rPr/>
          </w:pPr>
          <w:hyperlink w:anchor="__RefHeading___Toc4851_2273284388">
            <w:r>
              <w:rPr>
                <w:webHidden/>
                <w:rStyle w:val="Vnculodendice"/>
                <w:vanish w:val="false"/>
              </w:rPr>
              <w:t>4 Resultados</w:t>
              <w:tab/>
              <w:t>3</w:t>
            </w:r>
          </w:hyperlink>
        </w:p>
        <w:p>
          <w:pPr>
            <w:pStyle w:val="Sumrio2"/>
            <w:tabs>
              <w:tab w:val="clear" w:pos="720"/>
              <w:tab w:val="right" w:pos="10630" w:leader="dot"/>
            </w:tabs>
            <w:rPr/>
          </w:pPr>
          <w:hyperlink w:anchor="__RefHeading___Toc4853_2273284388">
            <w:r>
              <w:rPr>
                <w:webHidden/>
                <w:rStyle w:val="Vnculodendice"/>
                <w:vanish w:val="false"/>
              </w:rPr>
              <w:t>4.1 Participantes do estudo</w:t>
              <w:tab/>
              <w:t>3</w:t>
            </w:r>
          </w:hyperlink>
        </w:p>
        <w:p>
          <w:pPr>
            <w:pStyle w:val="Sumrio2"/>
            <w:tabs>
              <w:tab w:val="clear" w:pos="720"/>
              <w:tab w:val="right" w:pos="10630" w:leader="dot"/>
            </w:tabs>
            <w:rPr/>
          </w:pPr>
          <w:hyperlink w:anchor="__RefHeading___Toc4855_2273284388">
            <w:r>
              <w:rPr>
                <w:webHidden/>
                <w:rStyle w:val="Vnculodendice"/>
                <w:vanish w:val="false"/>
              </w:rPr>
              <w:t>4.2 Distribuição das modalidades esportivas praticadas pelos atletas com pubalgia</w:t>
              <w:tab/>
              <w:t>3</w:t>
            </w:r>
          </w:hyperlink>
        </w:p>
        <w:p>
          <w:pPr>
            <w:pStyle w:val="Sumrio3"/>
            <w:tabs>
              <w:tab w:val="clear" w:pos="720"/>
              <w:tab w:val="right" w:pos="10630" w:leader="dot"/>
            </w:tabs>
            <w:rPr/>
          </w:pPr>
          <w:hyperlink w:anchor="__RefHeading___Toc4857_2273284388">
            <w:r>
              <w:rPr>
                <w:webHidden/>
                <w:rStyle w:val="Vnculodendice"/>
                <w:vanish w:val="false"/>
              </w:rPr>
              <w:t>4.2.1 Atividades auxiliares dos praticantes de futebol</w:t>
              <w:tab/>
              <w:t>5</w:t>
            </w:r>
          </w:hyperlink>
        </w:p>
        <w:p>
          <w:pPr>
            <w:pStyle w:val="Sumrio3"/>
            <w:tabs>
              <w:tab w:val="clear" w:pos="720"/>
              <w:tab w:val="right" w:pos="10630" w:leader="dot"/>
            </w:tabs>
            <w:rPr/>
          </w:pPr>
          <w:hyperlink w:anchor="__RefHeading___Toc4859_2273284388">
            <w:r>
              <w:rPr>
                <w:webHidden/>
                <w:rStyle w:val="Vnculodendice"/>
                <w:vanish w:val="false"/>
              </w:rPr>
              <w:t>4.2.2 Atividades auxiliares dos praticantes de corrida</w:t>
              <w:tab/>
              <w:t>5</w:t>
            </w:r>
          </w:hyperlink>
        </w:p>
        <w:p>
          <w:pPr>
            <w:pStyle w:val="Sumrio3"/>
            <w:tabs>
              <w:tab w:val="clear" w:pos="720"/>
              <w:tab w:val="right" w:pos="10630" w:leader="dot"/>
            </w:tabs>
            <w:rPr/>
          </w:pPr>
          <w:hyperlink w:anchor="__RefHeading___Toc4861_2273284388">
            <w:r>
              <w:rPr>
                <w:webHidden/>
                <w:rStyle w:val="Vnculodendice"/>
                <w:vanish w:val="false"/>
              </w:rPr>
              <w:t>4.2.3 Atividades auxiliares dos praticantes de musculação</w:t>
              <w:tab/>
              <w:t>6</w:t>
            </w:r>
          </w:hyperlink>
        </w:p>
        <w:p>
          <w:pPr>
            <w:pStyle w:val="Sumrio2"/>
            <w:tabs>
              <w:tab w:val="clear" w:pos="720"/>
              <w:tab w:val="right" w:pos="10630" w:leader="dot"/>
            </w:tabs>
            <w:rPr/>
          </w:pPr>
          <w:hyperlink w:anchor="__RefHeading___Toc4863_2273284388">
            <w:r>
              <w:rPr>
                <w:webHidden/>
                <w:rStyle w:val="Vnculodendice"/>
                <w:vanish w:val="false"/>
              </w:rPr>
              <w:t>4.3 Características de dor</w:t>
              <w:tab/>
              <w:t>7</w:t>
            </w:r>
          </w:hyperlink>
        </w:p>
        <w:p>
          <w:pPr>
            <w:pStyle w:val="Sumrio2"/>
            <w:tabs>
              <w:tab w:val="clear" w:pos="720"/>
              <w:tab w:val="right" w:pos="10630" w:leader="dot"/>
            </w:tabs>
            <w:rPr/>
          </w:pPr>
          <w:hyperlink w:anchor="__RefHeading___Toc4865_2273284388">
            <w:r>
              <w:rPr>
                <w:webHidden/>
                <w:rStyle w:val="Vnculodendice"/>
                <w:vanish w:val="false"/>
              </w:rPr>
              <w:t>4.4 Performance dos exames físicos</w:t>
              <w:tab/>
              <w:t>9</w:t>
            </w:r>
          </w:hyperlink>
        </w:p>
        <w:p>
          <w:pPr>
            <w:pStyle w:val="Sumrio1"/>
            <w:tabs>
              <w:tab w:val="clear" w:pos="720"/>
              <w:tab w:val="right" w:pos="10630" w:leader="dot"/>
            </w:tabs>
            <w:rPr/>
          </w:pPr>
          <w:hyperlink w:anchor="__RefHeading___Toc4867_2273284388">
            <w:r>
              <w:rPr>
                <w:webHidden/>
                <w:rStyle w:val="Vnculodendice"/>
                <w:vanish w:val="false"/>
              </w:rPr>
              <w:t>5 Discussão</w:t>
              <w:tab/>
              <w:t>10</w:t>
            </w:r>
          </w:hyperlink>
        </w:p>
        <w:p>
          <w:pPr>
            <w:pStyle w:val="Sumrio1"/>
            <w:tabs>
              <w:tab w:val="clear" w:pos="720"/>
              <w:tab w:val="right" w:pos="10630" w:leader="dot"/>
            </w:tabs>
            <w:rPr/>
          </w:pPr>
          <w:hyperlink w:anchor="__RefHeading___Toc4869_2273284388">
            <w:r>
              <w:rPr>
                <w:webHidden/>
                <w:rStyle w:val="Vnculodendice"/>
                <w:vanish w:val="false"/>
              </w:rPr>
              <w:t>6 Conclusões</w:t>
              <w:tab/>
              <w:t>11</w:t>
            </w:r>
          </w:hyperlink>
        </w:p>
        <w:p>
          <w:pPr>
            <w:pStyle w:val="Sumrio1"/>
            <w:tabs>
              <w:tab w:val="clear" w:pos="720"/>
              <w:tab w:val="right" w:pos="10630" w:leader="dot"/>
            </w:tabs>
            <w:rPr/>
          </w:pPr>
          <w:hyperlink w:anchor="__RefHeading___Toc4871_2273284388">
            <w:r>
              <w:rPr>
                <w:webHidden/>
                <w:rStyle w:val="Vnculodendice"/>
                <w:vanish w:val="false"/>
              </w:rPr>
              <w:t>7 Referências</w:t>
              <w:tab/>
              <w:t>11</w:t>
            </w:r>
          </w:hyperlink>
        </w:p>
        <w:p>
          <w:pPr>
            <w:pStyle w:val="Sumrio1"/>
            <w:tabs>
              <w:tab w:val="clear" w:pos="720"/>
              <w:tab w:val="right" w:pos="10630" w:leader="dot"/>
            </w:tabs>
            <w:rPr/>
          </w:pPr>
          <w:hyperlink w:anchor="__RefHeading___Toc4873_2273284388">
            <w:r>
              <w:rPr>
                <w:webHidden/>
                <w:rStyle w:val="Vnculodendice"/>
                <w:vanish w:val="false"/>
              </w:rPr>
              <w:t>8 Apêndice</w:t>
              <w:tab/>
              <w:t>11</w:t>
            </w:r>
          </w:hyperlink>
          <w:r>
            <w:rPr>
              <w:rStyle w:val="Vnculodendice"/>
              <w:vanish w:val="false"/>
            </w:rPr>
            <w:fldChar w:fldCharType="end"/>
          </w:r>
        </w:p>
      </w:sdtContent>
    </w:sdt>
    <w:p>
      <w:pPr>
        <w:pStyle w:val="Normal"/>
        <w:spacing w:before="280" w:after="280"/>
        <w:rPr/>
      </w:pPr>
      <w:r>
        <w:rPr/>
      </w:r>
    </w:p>
    <w:p>
      <w:pPr>
        <w:pStyle w:val="Normal"/>
        <w:spacing w:before="0" w:after="280"/>
        <w:rPr/>
      </w:pPr>
      <w:r>
        <w:rPr/>
        <mc:AlternateContent>
          <mc:Choice Requires="wps">
            <w:drawing>
              <wp:inline distT="0" distB="0" distL="0" distR="0">
                <wp:extent cx="6751320" cy="20955"/>
                <wp:effectExtent l="0" t="0" r="0" b="0"/>
                <wp:docPr id="1" name="Forma1"/>
                <a:graphic xmlns:a="http://schemas.openxmlformats.org/drawingml/2006/main">
                  <a:graphicData uri="http://schemas.microsoft.com/office/word/2010/wordprocessingShape">
                    <wps:wsp>
                      <wps:cNvSpPr/>
                      <wps:spPr>
                        <a:xfrm>
                          <a:off x="0" y="0"/>
                          <a:ext cx="675072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style="position:absolute;margin-left:0pt;margin-top:-1.65pt;width:531.5pt;height:1.55pt;mso-wrap-style:none;v-text-anchor:middle;mso-position-vertical:top">
                <v:fill o:detectmouseclick="t" type="solid" color2="black"/>
                <v:stroke color="black" joinstyle="round" endcap="flat"/>
                <w10:wrap type="square"/>
              </v:rect>
            </w:pict>
          </mc:Fallback>
        </mc:AlternateContent>
      </w:r>
    </w:p>
    <w:p>
      <w:pPr>
        <w:pStyle w:val="Normal"/>
        <w:spacing w:before="280" w:after="280"/>
        <w:rPr/>
      </w:pPr>
      <w:r>
        <w:rPr>
          <w:b/>
        </w:rPr>
        <w:t>Histórico do documento</w:t>
      </w:r>
    </w:p>
    <w:tbl>
      <w:tblPr>
        <w:tblStyle w:val="TableNormal"/>
        <w:tblW w:w="2256" w:type="dxa"/>
        <w:jc w:val="left"/>
        <w:tblInd w:w="0" w:type="dxa"/>
        <w:tblLayout w:type="fixed"/>
        <w:tblCellMar>
          <w:top w:w="0" w:type="dxa"/>
          <w:left w:w="108" w:type="dxa"/>
          <w:bottom w:w="0" w:type="dxa"/>
          <w:right w:w="108" w:type="dxa"/>
        </w:tblCellMar>
        <w:tblLook w:val="07e0" w:noHBand="1" w:noVBand="1" w:firstColumn="1" w:lastRow="1" w:lastColumn="1" w:firstRow="1"/>
      </w:tblPr>
      <w:tblGrid>
        <w:gridCol w:w="850"/>
        <w:gridCol w:w="1405"/>
      </w:tblGrid>
      <w:tr>
        <w:trPr/>
        <w:tc>
          <w:tcPr>
            <w:tcW w:w="850" w:type="dxa"/>
            <w:cnfStyle w:val="000000000000" w:firstRow="0" w:lastRow="0" w:firstColumn="0" w:lastColumn="0" w:oddVBand="0" w:evenVBand="0" w:oddHBand="0" w:evenHBand="0" w:firstRowFirstColumn="0" w:firstRowLastColumn="0" w:lastRowFirstColumn="0" w:lastRowLastColumn="0"/>
            <w:tcBorders/>
            <w:shd w:color="auto" w:fill="BFBFBF" w:themeFill="background1" w:themeFillShade="bf" w:val="clear"/>
            <w:vAlign w:val="bottom"/>
          </w:tcPr>
          <w:p>
            <w:pPr>
              <w:pStyle w:val="Normal"/>
              <w:widowControl w:val="false"/>
              <w:suppressAutoHyphens w:val="true"/>
              <w:spacing w:before="0" w:after="0"/>
              <w:jc w:val="center"/>
              <w:rPr>
                <w:rFonts w:eastAsia="Calibri" w:cs=""/>
                <w:b/>
                <w:b/>
                <w:bCs/>
                <w:color w:val="auto"/>
                <w:kern w:val="0"/>
                <w:sz w:val="18"/>
                <w:szCs w:val="20"/>
                <w:lang w:val="pt-BR" w:eastAsia="pt-BR" w:bidi="ar-SA"/>
              </w:rPr>
            </w:pPr>
            <w:r>
              <w:rPr>
                <w:rFonts w:eastAsia="Calibri" w:cs=""/>
                <w:b/>
                <w:bCs/>
                <w:color w:val="auto"/>
                <w:kern w:val="0"/>
                <w:sz w:val="18"/>
                <w:szCs w:val="20"/>
                <w:lang w:val="pt-BR" w:eastAsia="pt-BR" w:bidi="ar-SA"/>
              </w:rPr>
              <w:t>Versão</w:t>
            </w:r>
          </w:p>
        </w:tc>
        <w:tc>
          <w:tcPr>
            <w:tcW w:w="1405" w:type="dxa"/>
            <w:cnfStyle w:val="000000000000" w:firstRow="0" w:lastRow="0" w:firstColumn="0" w:lastColumn="0" w:oddVBand="0" w:evenVBand="0" w:oddHBand="0" w:evenHBand="0" w:firstRowFirstColumn="0" w:firstRowLastColumn="0" w:lastRowFirstColumn="0" w:lastRowLastColumn="0"/>
            <w:tcBorders/>
            <w:shd w:color="auto" w:fill="BFBFBF" w:themeFill="background1" w:themeFillShade="bf" w:val="clear"/>
            <w:vAlign w:val="bottom"/>
          </w:tcPr>
          <w:p>
            <w:pPr>
              <w:pStyle w:val="Normal"/>
              <w:widowControl w:val="false"/>
              <w:suppressAutoHyphens w:val="true"/>
              <w:spacing w:before="0" w:after="0"/>
              <w:jc w:val="center"/>
              <w:rPr>
                <w:rFonts w:eastAsia="Calibri" w:cs=""/>
                <w:b/>
                <w:b/>
                <w:bCs/>
                <w:color w:val="auto"/>
                <w:kern w:val="0"/>
                <w:sz w:val="18"/>
                <w:szCs w:val="20"/>
                <w:lang w:val="pt-BR" w:eastAsia="pt-BR" w:bidi="ar-SA"/>
              </w:rPr>
            </w:pPr>
            <w:r>
              <w:rPr>
                <w:rFonts w:eastAsia="Calibri" w:cs=""/>
                <w:b/>
                <w:bCs/>
                <w:color w:val="auto"/>
                <w:kern w:val="0"/>
                <w:sz w:val="18"/>
                <w:szCs w:val="20"/>
                <w:lang w:val="pt-BR" w:eastAsia="pt-BR" w:bidi="ar-SA"/>
              </w:rPr>
              <w:t>Alterações</w:t>
            </w:r>
          </w:p>
        </w:tc>
      </w:tr>
      <w:tr>
        <w:trPr/>
        <w:tc>
          <w:tcPr>
            <w:tcW w:w="850"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kern w:val="0"/>
                <w:sz w:val="18"/>
                <w:szCs w:val="20"/>
                <w:lang w:val="pt-BR" w:eastAsia="pt-BR" w:bidi="ar-SA"/>
              </w:rPr>
              <w:t>01</w:t>
            </w:r>
          </w:p>
        </w:tc>
        <w:tc>
          <w:tcPr>
            <w:tcW w:w="1405"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kern w:val="0"/>
                <w:sz w:val="18"/>
                <w:szCs w:val="20"/>
                <w:lang w:val="pt-BR" w:eastAsia="pt-BR" w:bidi="ar-SA"/>
              </w:rPr>
              <w:t>Versão inicial</w:t>
            </w:r>
          </w:p>
        </w:tc>
      </w:tr>
    </w:tbl>
    <w:p>
      <w:pPr>
        <w:pStyle w:val="Normal"/>
        <w:spacing w:before="0" w:after="280"/>
        <w:rPr/>
      </w:pPr>
      <w:r>
        <w:rPr/>
        <mc:AlternateContent>
          <mc:Choice Requires="wps">
            <w:drawing>
              <wp:inline distT="0" distB="0" distL="0" distR="0">
                <wp:extent cx="2540" cy="20955"/>
                <wp:effectExtent l="0" t="0" r="0" b="0"/>
                <wp:docPr id="2" name="Forma2"/>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style="position:absolute;margin-left:0pt;margin-top:-1.65pt;width:0.1pt;height:1.55pt;mso-wrap-style:none;v-text-anchor:middle;mso-position-vertical:top">
                <v:fill o:detectmouseclick="t" type="solid" color2="black"/>
                <v:stroke color="black" joinstyle="round" endcap="flat"/>
                <w10:wrap type="square"/>
              </v:rect>
            </w:pict>
          </mc:Fallback>
        </mc:AlternateContent>
      </w:r>
    </w:p>
    <w:p>
      <w:pPr>
        <w:pStyle w:val="Ttulo1"/>
        <w:spacing w:before="280" w:after="280"/>
        <w:ind w:left="431" w:hanging="431"/>
        <w:rPr/>
      </w:pPr>
      <w:bookmarkStart w:id="1" w:name="__RefHeading___Toc4841_2273284388"/>
      <w:bookmarkStart w:id="2" w:name="_Toc1523791674"/>
      <w:bookmarkStart w:id="3" w:name="lista-de-abreviaturas"/>
      <w:bookmarkEnd w:id="1"/>
      <w:r>
        <w:rPr/>
        <w:t>Lista de abreviaturas</w:t>
      </w:r>
      <w:bookmarkEnd w:id="2"/>
      <w:bookmarkEnd w:id="3"/>
    </w:p>
    <w:p>
      <w:pPr>
        <w:pStyle w:val="Ttulo1"/>
        <w:spacing w:before="280" w:after="280"/>
        <w:ind w:left="431" w:hanging="431"/>
        <w:rPr/>
      </w:pPr>
      <w:bookmarkStart w:id="4" w:name="__RefHeading___Toc4843_2273284388"/>
      <w:bookmarkStart w:id="5" w:name="_Toc474416972"/>
      <w:bookmarkStart w:id="6" w:name="introducao"/>
      <w:bookmarkEnd w:id="4"/>
      <w:r>
        <w:rPr/>
        <w:t>Introdução</w:t>
      </w:r>
      <w:bookmarkEnd w:id="5"/>
      <w:bookmarkEnd w:id="6"/>
    </w:p>
    <w:p>
      <w:pPr>
        <w:pStyle w:val="Ttulo2"/>
        <w:spacing w:before="280" w:after="280"/>
        <w:ind w:left="578" w:hanging="578"/>
        <w:rPr/>
      </w:pPr>
      <w:bookmarkStart w:id="7" w:name="__RefHeading___Toc4845_2273284388"/>
      <w:bookmarkStart w:id="8" w:name="_Toc588189946"/>
      <w:bookmarkStart w:id="9" w:name="objetivos"/>
      <w:bookmarkEnd w:id="7"/>
      <w:r>
        <w:rPr/>
        <w:t>Objetivos</w:t>
      </w:r>
      <w:bookmarkEnd w:id="8"/>
      <w:bookmarkEnd w:id="9"/>
    </w:p>
    <w:p>
      <w:pPr>
        <w:pStyle w:val="Normal"/>
        <w:spacing w:before="280" w:after="280"/>
        <w:rPr/>
      </w:pPr>
      <w:r>
        <w:rPr/>
        <w:t>Descrever as ocorrências de pubalgia em atletas de diversas modalidades esportivas e níveis de dedicação.</w:t>
      </w:r>
    </w:p>
    <w:p>
      <w:pPr>
        <w:pStyle w:val="Ttulo2"/>
        <w:spacing w:before="280" w:after="280"/>
        <w:ind w:left="578" w:hanging="578"/>
        <w:rPr/>
      </w:pPr>
      <w:bookmarkStart w:id="10" w:name="__RefHeading___Toc4847_2273284388"/>
      <w:bookmarkStart w:id="11" w:name="_Toc1479105516"/>
      <w:bookmarkStart w:id="12" w:name="recepcao-e-tratamento-dos-dados"/>
      <w:bookmarkEnd w:id="10"/>
      <w:r>
        <w:rPr/>
        <w:t>Recepção e tratamento dos dados</w:t>
      </w:r>
      <w:bookmarkEnd w:id="11"/>
      <w:bookmarkEnd w:id="12"/>
    </w:p>
    <w:p>
      <w:pPr>
        <w:pStyle w:val="Normal"/>
        <w:spacing w:before="280" w:after="280"/>
        <w:rPr/>
      </w:pPr>
      <w:r>
        <w:rPr/>
        <w:t>Os dados foram recebidos em uma planilha Excel, no formato longo (uma observação por linha). A planilha continha tabelas separadas para classificar corretamente os dados em que um participante contribui com várias observações. As tabelas utilizadas nesta análise representam:</w:t>
      </w:r>
    </w:p>
    <w:p>
      <w:pPr>
        <w:pStyle w:val="Normal"/>
        <w:numPr>
          <w:ilvl w:val="0"/>
          <w:numId w:val="2"/>
        </w:numPr>
        <w:spacing w:before="280" w:after="0"/>
        <w:rPr/>
      </w:pPr>
      <w:r>
        <w:rPr/>
        <w:t>Dados dos participantes</w:t>
      </w:r>
    </w:p>
    <w:p>
      <w:pPr>
        <w:pStyle w:val="Normal"/>
        <w:numPr>
          <w:ilvl w:val="0"/>
          <w:numId w:val="2"/>
        </w:numPr>
        <w:spacing w:before="0" w:after="0"/>
        <w:rPr/>
      </w:pPr>
      <w:r>
        <w:rPr/>
        <w:t>Esportes praticados</w:t>
      </w:r>
    </w:p>
    <w:p>
      <w:pPr>
        <w:pStyle w:val="Normal"/>
        <w:numPr>
          <w:ilvl w:val="0"/>
          <w:numId w:val="2"/>
        </w:numPr>
        <w:spacing w:before="0" w:after="0"/>
        <w:rPr/>
      </w:pPr>
      <w:r>
        <w:rPr/>
        <w:t>Locais em que os participantes sentem dor</w:t>
      </w:r>
    </w:p>
    <w:p>
      <w:pPr>
        <w:pStyle w:val="Normal"/>
        <w:numPr>
          <w:ilvl w:val="0"/>
          <w:numId w:val="2"/>
        </w:numPr>
        <w:spacing w:before="0" w:after="280"/>
        <w:rPr/>
      </w:pPr>
      <w:r>
        <w:rPr/>
        <w:t>Movimentos em que os participantes sentem dor</w:t>
      </w:r>
    </w:p>
    <w:p>
      <w:pPr>
        <w:pStyle w:val="Normal"/>
        <w:spacing w:before="280" w:after="280"/>
        <w:rPr/>
      </w:pPr>
      <w:r>
        <w:rPr/>
        <w:t>Todas as tabelas contém um código unívoco que identifica cada participante. Este código foi usado para mergir as tabelas para análise.</w:t>
      </w:r>
    </w:p>
    <w:p>
      <w:pPr>
        <w:pStyle w:val="Ttulo1"/>
        <w:spacing w:before="280" w:after="280"/>
        <w:ind w:left="431" w:hanging="431"/>
        <w:rPr/>
      </w:pPr>
      <w:bookmarkStart w:id="13" w:name="__RefHeading___Toc4849_2273284388"/>
      <w:bookmarkStart w:id="14" w:name="_Toc336545524"/>
      <w:bookmarkStart w:id="15" w:name="metodologia"/>
      <w:bookmarkEnd w:id="13"/>
      <w:r>
        <w:rPr/>
        <w:t>Metodologia</w:t>
      </w:r>
      <w:bookmarkEnd w:id="14"/>
      <w:bookmarkEnd w:id="15"/>
    </w:p>
    <w:p>
      <w:pPr>
        <w:pStyle w:val="Normal"/>
        <w:spacing w:before="280" w:after="280"/>
        <w:rPr/>
      </w:pPr>
      <w:r>
        <w:rPr/>
        <w:t>Foi feita uma análise exploratória de dados, descrevendo o perfil epidemiológico dos participantes do estudo. As variáveis categóricas são apresentadas como frequência e proporção (%).</w:t>
      </w:r>
    </w:p>
    <w:p>
      <w:pPr>
        <w:pStyle w:val="Corpodotexto"/>
        <w:spacing w:before="280" w:after="280"/>
        <w:rPr/>
      </w:pPr>
      <w:r>
        <w:rPr/>
        <w:t>Esta análise foi realizada utilizando-se o software R versão 3.6.1.</w:t>
      </w:r>
    </w:p>
    <w:p>
      <w:pPr>
        <w:pStyle w:val="Ttulo1"/>
        <w:spacing w:before="280" w:after="280"/>
        <w:ind w:left="431" w:hanging="431"/>
        <w:rPr/>
      </w:pPr>
      <w:bookmarkStart w:id="16" w:name="__RefHeading___Toc4851_2273284388"/>
      <w:bookmarkStart w:id="17" w:name="_Toc348071207"/>
      <w:bookmarkStart w:id="18" w:name="resultados"/>
      <w:bookmarkEnd w:id="16"/>
      <w:r>
        <w:rPr/>
        <w:t>Resultados</w:t>
      </w:r>
      <w:bookmarkEnd w:id="17"/>
      <w:bookmarkEnd w:id="18"/>
    </w:p>
    <w:p>
      <w:pPr>
        <w:pStyle w:val="Ttulo2"/>
        <w:spacing w:before="280" w:after="280"/>
        <w:ind w:left="578" w:hanging="578"/>
        <w:rPr/>
      </w:pPr>
      <w:bookmarkStart w:id="19" w:name="__RefHeading___Toc4853_2273284388"/>
      <w:bookmarkStart w:id="20" w:name="_Toc1764943638"/>
      <w:bookmarkStart w:id="21" w:name="participantes-do-estudo"/>
      <w:bookmarkEnd w:id="19"/>
      <w:r>
        <w:rPr/>
        <w:t>Participantes do estudo</w:t>
      </w:r>
      <w:bookmarkEnd w:id="20"/>
      <w:bookmarkEnd w:id="21"/>
    </w:p>
    <w:p>
      <w:pPr>
        <w:pStyle w:val="Normal"/>
        <w:spacing w:before="280" w:after="280"/>
        <w:rPr/>
      </w:pPr>
      <w:r>
        <w:rPr/>
        <w:t>Esta série de casos contou com 245 participantes, dos quais 29 era mulheres e 216 eram homens. Os participantes do estudo tinham idades entre 14 e 75 anos. Atletas atuantes no Brasil, os participantes são oriundos de 21 estados brasileiros (AC, AM, BA, CE, DF, ES, GO, MA, MG, MT, PA, PE, PR, RJ, RN, RO, RR, RS, SC, SE, SP), e 4 atletas estrangeiros (Angola, Guiné, França, Portugal).</w:t>
      </w:r>
    </w:p>
    <w:p>
      <w:pPr>
        <w:pStyle w:val="Corpodotexto"/>
        <w:spacing w:before="280" w:after="280"/>
        <w:rPr/>
      </w:pPr>
      <w:r>
        <w:rPr/>
        <w:t>Os participantes foram perguntados sobre o nível de dedicação que eles praticam seu esporte: 44 praticam no nível profissional, 19 no nível universitário/escolar e 182 praticam de forma recreacional. 36 participantes relataram sentir dor aguda. Após as avaliações médicas 23 participantes receberam indicação de algum procedimento cirúrgico para mitigar os sintomas.</w:t>
      </w:r>
    </w:p>
    <w:p>
      <w:pPr>
        <w:pStyle w:val="Ttulo2"/>
        <w:spacing w:before="280" w:after="280"/>
        <w:ind w:left="578" w:hanging="578"/>
        <w:rPr/>
      </w:pPr>
      <w:bookmarkStart w:id="22" w:name="__RefHeading___Toc4855_2273284388"/>
      <w:bookmarkStart w:id="23" w:name="_Toc562422027"/>
      <w:bookmarkStart w:id="24" w:name="distribuicao-das-modalidades-esportivas-"/>
      <w:bookmarkEnd w:id="22"/>
      <w:r>
        <w:rPr/>
        <w:t>Distribuição das modalidades esportivas praticadas pelos atletas com pubalgia</w:t>
      </w:r>
      <w:bookmarkEnd w:id="23"/>
      <w:bookmarkEnd w:id="24"/>
    </w:p>
    <w:p>
      <w:pPr>
        <w:pStyle w:val="Normal"/>
        <w:spacing w:before="280" w:after="280"/>
        <w:rPr/>
      </w:pPr>
      <w:r>
        <w:rPr/>
        <w:t>Nesta série de casos, os atletas com pubalgia relataram praticar 25 modalidades esportivas distintas (</w:t>
      </w:r>
      <w:r>
        <w:rPr>
          <w:b/>
        </w:rPr>
        <w:t>figura 1</w:t>
      </w:r>
      <w:r>
        <w:rPr/>
        <w:t>). Três esportes se destacam como os mais comuns entre os participantes, seja como atividade esportiva principal ou secundária. Quando incluímos todos os atletas que praticam as modalidades esportivas sem considerar a atividade principal ou secundária temos o futebol (N = 148), a corrida (N = 81) e a musculação (N = 70).</w:t>
      </w:r>
    </w:p>
    <w:p>
      <w:pPr>
        <w:pStyle w:val="Normal"/>
        <w:spacing w:before="280" w:after="280"/>
        <w:rPr/>
      </w:pPr>
      <w:r>
        <w:rPr/>
        <w:drawing>
          <wp:inline distT="0" distB="0" distL="0" distR="0">
            <wp:extent cx="5504815" cy="4587240"/>
            <wp:effectExtent l="0" t="0" r="0" b="0"/>
            <wp:docPr id="3" name="Picture" descr="Figura 1 Prevalência dos esportes nos atletas com pubal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a 1 Prevalência dos esportes nos atletas com pubalgia"/>
                    <pic:cNvPicPr>
                      <a:picLocks noChangeAspect="1" noChangeArrowheads="1"/>
                    </pic:cNvPicPr>
                  </pic:nvPicPr>
                  <pic:blipFill>
                    <a:blip r:embed="rId2"/>
                    <a:stretch>
                      <a:fillRect/>
                    </a:stretch>
                  </pic:blipFill>
                  <pic:spPr bwMode="auto">
                    <a:xfrm>
                      <a:off x="0" y="0"/>
                      <a:ext cx="5504815" cy="4587240"/>
                    </a:xfrm>
                    <a:prstGeom prst="rect">
                      <a:avLst/>
                    </a:prstGeom>
                  </pic:spPr>
                </pic:pic>
              </a:graphicData>
            </a:graphic>
          </wp:inline>
        </w:drawing>
      </w:r>
    </w:p>
    <w:p>
      <w:pPr>
        <w:pStyle w:val="Normal"/>
        <w:spacing w:before="280" w:after="280"/>
        <w:rPr/>
      </w:pPr>
      <w:r>
        <w:rPr>
          <w:b/>
        </w:rPr>
        <w:t>Figura 1</w:t>
      </w:r>
      <w:r>
        <w:rPr/>
        <w:t xml:space="preserve"> Prevalência dos esportes nos atletas com pubalgia</w:t>
      </w:r>
    </w:p>
    <w:p>
      <w:pPr>
        <w:pStyle w:val="Corpodotexto"/>
        <w:spacing w:before="280" w:after="280"/>
        <w:rPr/>
      </w:pPr>
      <w:r>
        <w:rPr/>
        <w:t>As três modalidades globalmente mais comuns são também as selecionadas mais tipicamente tanto como esporte principal quanto como esporte secundário. Quando consideradas apenas as modalidades principais dos atletas, o futebol foi selecionado como atividade principal por 129 atletas, enquanto que a corrida e a musculação foram selecionadas por 43 e 16 atletas, respectivamente. Juntas estas três modalidades esportivas representam 76.7% da amostra (188 de 245). As três modalidades mais selecionadas pelos atletas como esportes secundários ou acessórios são a musculação (N = 54), a corrida (N = 38) e o futebol (N = 19). Juntas estas três modalidades representam 66.1% dos esportes secundários dos atletas com pubalgia (111 de 168).</w:t>
      </w:r>
    </w:p>
    <w:p>
      <w:pPr>
        <w:pStyle w:val="Ttulo3"/>
        <w:spacing w:before="280" w:after="280"/>
        <w:rPr/>
      </w:pPr>
      <w:bookmarkStart w:id="25" w:name="__RefHeading___Toc4857_2273284388"/>
      <w:bookmarkStart w:id="26" w:name="_Toc375970679"/>
      <w:bookmarkEnd w:id="25"/>
      <w:r>
        <w:rPr/>
        <w:t>Atividades auxiliares dos praticantes de futebol</w:t>
      </w:r>
      <w:bookmarkEnd w:id="26"/>
    </w:p>
    <w:p>
      <w:pPr>
        <w:pStyle w:val="Normal"/>
        <w:spacing w:before="280" w:after="280"/>
        <w:rPr/>
      </w:pPr>
      <w:r>
        <w:rPr/>
        <w:t>As duas modalidades esportivas mais praticadas como atividade auxiliar pelos participantes com pubalgia atlética que praticam primariamente o futebol são a musculação (N = 32) e a corrida (N = 22). Juntos estas duas modalidades representam 66.7% dos esportes secundários dos atletas com pubalgia (54 de 81).</w:t>
      </w:r>
    </w:p>
    <w:p>
      <w:pPr>
        <w:pStyle w:val="Normal"/>
        <w:spacing w:before="280" w:after="280"/>
        <w:rPr/>
      </w:pPr>
      <w:r>
        <w:rPr/>
        <w:drawing>
          <wp:inline distT="0" distB="0" distL="0" distR="0">
            <wp:extent cx="5504815" cy="4587240"/>
            <wp:effectExtent l="0" t="0" r="0" b="0"/>
            <wp:docPr id="4" name="Figura1" descr="Figura 2 Esportes auxiliares ao fute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Figura 2 Esportes auxiliares ao futebol"/>
                    <pic:cNvPicPr>
                      <a:picLocks noChangeAspect="1" noChangeArrowheads="1"/>
                    </pic:cNvPicPr>
                  </pic:nvPicPr>
                  <pic:blipFill>
                    <a:blip r:embed="rId3"/>
                    <a:stretch>
                      <a:fillRect/>
                    </a:stretch>
                  </pic:blipFill>
                  <pic:spPr bwMode="auto">
                    <a:xfrm>
                      <a:off x="0" y="0"/>
                      <a:ext cx="5504815" cy="4587240"/>
                    </a:xfrm>
                    <a:prstGeom prst="rect">
                      <a:avLst/>
                    </a:prstGeom>
                  </pic:spPr>
                </pic:pic>
              </a:graphicData>
            </a:graphic>
          </wp:inline>
        </w:drawing>
      </w:r>
    </w:p>
    <w:p>
      <w:pPr>
        <w:pStyle w:val="Normal"/>
        <w:spacing w:before="280" w:after="280"/>
        <w:rPr/>
      </w:pPr>
      <w:r>
        <w:rPr>
          <w:b/>
        </w:rPr>
        <w:t>Figura 2</w:t>
      </w:r>
      <w:r>
        <w:rPr/>
        <w:t xml:space="preserve"> Esportes auxiliares ao futebol</w:t>
      </w:r>
    </w:p>
    <w:p>
      <w:pPr>
        <w:pStyle w:val="Ttulo3"/>
        <w:spacing w:before="280" w:after="280"/>
        <w:rPr/>
      </w:pPr>
      <w:bookmarkStart w:id="27" w:name="__RefHeading___Toc4859_2273284388"/>
      <w:bookmarkStart w:id="28" w:name="_Toc198296058"/>
      <w:bookmarkEnd w:id="27"/>
      <w:r>
        <w:rPr/>
        <w:t>Atividades auxiliares dos praticantes de corrida</w:t>
      </w:r>
      <w:bookmarkEnd w:id="28"/>
    </w:p>
    <w:p>
      <w:pPr>
        <w:pStyle w:val="Normal"/>
        <w:spacing w:before="280" w:after="280"/>
        <w:rPr/>
      </w:pPr>
      <w:r>
        <w:rPr/>
        <w:t>As duas modalidades esportivas mais praticadas como atividade auxiliar pelos participantes com pubalgia atlética que praticam primariamente a corrida são a musculação (N = 9) e futebol (N = 8). Juntos estas duas modalidades representam 58.6% dos esportes secundários dos atletas com pubalgia (17 de 29).</w:t>
      </w:r>
    </w:p>
    <w:p>
      <w:pPr>
        <w:pStyle w:val="Normal"/>
        <w:spacing w:before="280" w:after="280"/>
        <w:rPr/>
      </w:pPr>
      <w:r>
        <w:rPr/>
        <w:drawing>
          <wp:inline distT="0" distB="0" distL="0" distR="0">
            <wp:extent cx="5504815" cy="4587240"/>
            <wp:effectExtent l="0" t="0" r="0" b="0"/>
            <wp:docPr id="5" name="Figura2" descr="Figura 3 Esportes auxiliares à cor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Figura 3 Esportes auxiliares à corrida"/>
                    <pic:cNvPicPr>
                      <a:picLocks noChangeAspect="1" noChangeArrowheads="1"/>
                    </pic:cNvPicPr>
                  </pic:nvPicPr>
                  <pic:blipFill>
                    <a:blip r:embed="rId4"/>
                    <a:stretch>
                      <a:fillRect/>
                    </a:stretch>
                  </pic:blipFill>
                  <pic:spPr bwMode="auto">
                    <a:xfrm>
                      <a:off x="0" y="0"/>
                      <a:ext cx="5504815" cy="4587240"/>
                    </a:xfrm>
                    <a:prstGeom prst="rect">
                      <a:avLst/>
                    </a:prstGeom>
                  </pic:spPr>
                </pic:pic>
              </a:graphicData>
            </a:graphic>
          </wp:inline>
        </w:drawing>
      </w:r>
    </w:p>
    <w:p>
      <w:pPr>
        <w:pStyle w:val="Normal"/>
        <w:spacing w:before="280" w:after="280"/>
        <w:rPr/>
      </w:pPr>
      <w:r>
        <w:rPr>
          <w:b/>
        </w:rPr>
        <w:t>Figura 3</w:t>
      </w:r>
      <w:r>
        <w:rPr/>
        <w:t xml:space="preserve"> Esportes auxiliares à corrida</w:t>
      </w:r>
    </w:p>
    <w:p>
      <w:pPr>
        <w:pStyle w:val="Ttulo3"/>
        <w:spacing w:before="280" w:after="280"/>
        <w:rPr/>
      </w:pPr>
      <w:bookmarkStart w:id="29" w:name="__RefHeading___Toc4861_2273284388"/>
      <w:bookmarkStart w:id="30" w:name="_Toc1001740634"/>
      <w:bookmarkStart w:id="31" w:name="atividades-auxiliares-dos-praticantes-de"/>
      <w:bookmarkEnd w:id="29"/>
      <w:r>
        <w:rPr/>
        <w:t>Atividades auxiliares dos praticantes de musculação</w:t>
      </w:r>
      <w:bookmarkEnd w:id="30"/>
      <w:bookmarkEnd w:id="31"/>
    </w:p>
    <w:p>
      <w:pPr>
        <w:pStyle w:val="Normal"/>
        <w:spacing w:before="280" w:after="280"/>
        <w:rPr/>
      </w:pPr>
      <w:r>
        <w:rPr/>
        <w:t>As duas modalidades esportivas mais praticadas como atividade auxiliar pelos participantes com pubalgia atlética que praticam primariamente o futebol são a musculação (N = 5) e a corrida (N = 3). Juntos estas duas modalidades representam 57.1% dos esportes secundários dos atletas com pubalgia (8 de 14).</w:t>
      </w:r>
    </w:p>
    <w:p>
      <w:pPr>
        <w:pStyle w:val="Normal"/>
        <w:spacing w:before="280" w:after="280"/>
        <w:rPr/>
      </w:pPr>
      <w:r>
        <w:rPr/>
        <w:drawing>
          <wp:inline distT="0" distB="0" distL="0" distR="0">
            <wp:extent cx="5504815" cy="4587240"/>
            <wp:effectExtent l="0" t="0" r="0" b="0"/>
            <wp:docPr id="6" name="Figura3" descr="Figura 4 Esportes auxiliares à muscul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Figura 4 Esportes auxiliares à musculação"/>
                    <pic:cNvPicPr>
                      <a:picLocks noChangeAspect="1" noChangeArrowheads="1"/>
                    </pic:cNvPicPr>
                  </pic:nvPicPr>
                  <pic:blipFill>
                    <a:blip r:embed="rId5"/>
                    <a:stretch>
                      <a:fillRect/>
                    </a:stretch>
                  </pic:blipFill>
                  <pic:spPr bwMode="auto">
                    <a:xfrm>
                      <a:off x="0" y="0"/>
                      <a:ext cx="5504815" cy="4587240"/>
                    </a:xfrm>
                    <a:prstGeom prst="rect">
                      <a:avLst/>
                    </a:prstGeom>
                  </pic:spPr>
                </pic:pic>
              </a:graphicData>
            </a:graphic>
          </wp:inline>
        </w:drawing>
      </w:r>
    </w:p>
    <w:p>
      <w:pPr>
        <w:pStyle w:val="Normal"/>
        <w:spacing w:before="280" w:after="280"/>
        <w:rPr/>
      </w:pPr>
      <w:r>
        <w:rPr>
          <w:b/>
        </w:rPr>
        <w:t>Figura 4</w:t>
      </w:r>
      <w:r>
        <w:rPr/>
        <w:t xml:space="preserve"> Esportes auxiliares à musculação</w:t>
      </w:r>
    </w:p>
    <w:p>
      <w:pPr>
        <w:pStyle w:val="Ttulo2"/>
        <w:spacing w:before="280" w:after="280"/>
        <w:ind w:left="578" w:hanging="578"/>
        <w:rPr/>
      </w:pPr>
      <w:bookmarkStart w:id="32" w:name="__RefHeading___Toc4863_2273284388"/>
      <w:bookmarkStart w:id="33" w:name="_Toc1258088477"/>
      <w:bookmarkStart w:id="34" w:name="caracteristicas-de-dor"/>
      <w:bookmarkEnd w:id="32"/>
      <w:r>
        <w:rPr/>
        <w:t>Características de dor</w:t>
      </w:r>
      <w:bookmarkEnd w:id="33"/>
      <w:bookmarkEnd w:id="34"/>
    </w:p>
    <w:p>
      <w:pPr>
        <w:pStyle w:val="Normal"/>
        <w:spacing w:before="280" w:after="280"/>
        <w:rPr/>
      </w:pPr>
      <w:r>
        <w:rPr/>
        <w:t xml:space="preserve">243 participantes alegaram que a dor interfere em sua prática esportiva (99.2%). A </w:t>
      </w:r>
      <w:r>
        <w:rPr>
          <w:b/>
        </w:rPr>
        <w:t>figura 5</w:t>
      </w:r>
      <w:r>
        <w:rPr/>
        <w:t xml:space="preserve"> mostra a proporção de participantes que sente dor em cada um dos locais avaliados neste estudo. 65 (26.5%) participantes relataram sentir dor em um único local, enquanto 110, 48, 15 sentem dor em dois, três e quatro locais respectivamente (o que corresponde a 44.9%, 19.6%, 6.1% do total, respectivamente). 4 (1.6%) participantes sentem dor nos 5 locais. A </w:t>
      </w:r>
      <w:r>
        <w:rPr>
          <w:b/>
        </w:rPr>
        <w:t>figura 6</w:t>
      </w:r>
      <w:r>
        <w:rPr/>
        <w:t xml:space="preserve"> mostra o número de participantes que sente dor em cada movimento avaliado neste estudo. 45 participantes (18.4%) sentem dor em algum dos movimentos avaliados, enquanto 81, 55, 30 sentem dor em dois, três e quatro movimentos respectivamente (o que corresponde a 33.1%, 22.4%, 12.2% do total, respectivamente). 30 (12.2%) participantes sentem dor nos cinco movimentos.</w:t>
      </w:r>
    </w:p>
    <w:p>
      <w:pPr>
        <w:pStyle w:val="Normal"/>
        <w:spacing w:before="280" w:after="280"/>
        <w:rPr/>
      </w:pPr>
      <w:r>
        <w:rPr/>
        <w:drawing>
          <wp:inline distT="0" distB="0" distL="0" distR="0">
            <wp:extent cx="5504815" cy="4587240"/>
            <wp:effectExtent l="0" t="0" r="0" b="0"/>
            <wp:docPr id="7" name="Figura4" descr="Figura 5 Locais do púbis em que o participante sente 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Figura 5 Locais do púbis em que o participante sente dor"/>
                    <pic:cNvPicPr>
                      <a:picLocks noChangeAspect="1" noChangeArrowheads="1"/>
                    </pic:cNvPicPr>
                  </pic:nvPicPr>
                  <pic:blipFill>
                    <a:blip r:embed="rId6"/>
                    <a:stretch>
                      <a:fillRect/>
                    </a:stretch>
                  </pic:blipFill>
                  <pic:spPr bwMode="auto">
                    <a:xfrm>
                      <a:off x="0" y="0"/>
                      <a:ext cx="5504815" cy="4587240"/>
                    </a:xfrm>
                    <a:prstGeom prst="rect">
                      <a:avLst/>
                    </a:prstGeom>
                  </pic:spPr>
                </pic:pic>
              </a:graphicData>
            </a:graphic>
          </wp:inline>
        </w:drawing>
      </w:r>
    </w:p>
    <w:p>
      <w:pPr>
        <w:pStyle w:val="Normal"/>
        <w:spacing w:before="280" w:after="280"/>
        <w:rPr/>
      </w:pPr>
      <w:r>
        <w:rPr>
          <w:b/>
        </w:rPr>
        <w:t>Figura 5</w:t>
      </w:r>
      <w:r>
        <w:rPr/>
        <w:t xml:space="preserve"> Locais do púbis em que o participante sente dor</w:t>
      </w:r>
    </w:p>
    <w:p>
      <w:pPr>
        <w:pStyle w:val="Normal"/>
        <w:spacing w:before="280" w:after="280"/>
        <w:rPr/>
      </w:pPr>
      <w:r>
        <w:rPr/>
        <w:drawing>
          <wp:inline distT="0" distB="0" distL="0" distR="0">
            <wp:extent cx="5504815" cy="4587240"/>
            <wp:effectExtent l="0" t="0" r="0" b="0"/>
            <wp:docPr id="8" name="Figura5" descr="Figura 6 Movimentos da prática esportiva em que o participante sente 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descr="Figura 6 Movimentos da prática esportiva em que o participante sente dor"/>
                    <pic:cNvPicPr>
                      <a:picLocks noChangeAspect="1" noChangeArrowheads="1"/>
                    </pic:cNvPicPr>
                  </pic:nvPicPr>
                  <pic:blipFill>
                    <a:blip r:embed="rId7"/>
                    <a:stretch>
                      <a:fillRect/>
                    </a:stretch>
                  </pic:blipFill>
                  <pic:spPr bwMode="auto">
                    <a:xfrm>
                      <a:off x="0" y="0"/>
                      <a:ext cx="5504815" cy="4587240"/>
                    </a:xfrm>
                    <a:prstGeom prst="rect">
                      <a:avLst/>
                    </a:prstGeom>
                  </pic:spPr>
                </pic:pic>
              </a:graphicData>
            </a:graphic>
          </wp:inline>
        </w:drawing>
      </w:r>
    </w:p>
    <w:p>
      <w:pPr>
        <w:pStyle w:val="Normal"/>
        <w:spacing w:before="280" w:after="280"/>
        <w:rPr/>
      </w:pPr>
      <w:r>
        <w:rPr>
          <w:b/>
        </w:rPr>
        <w:t>Figura 6</w:t>
      </w:r>
      <w:r>
        <w:rPr/>
        <w:t xml:space="preserve"> Movimentos da prática esportiva em que o participante sente dor</w:t>
      </w:r>
    </w:p>
    <w:p>
      <w:pPr>
        <w:pStyle w:val="Ttulo2"/>
        <w:spacing w:before="280" w:after="280"/>
        <w:ind w:left="578" w:hanging="578"/>
        <w:rPr/>
      </w:pPr>
      <w:bookmarkStart w:id="35" w:name="__RefHeading___Toc4865_2273284388"/>
      <w:bookmarkStart w:id="36" w:name="_Toc45870325"/>
      <w:bookmarkStart w:id="37" w:name="performance-dos-exames-fisicos"/>
      <w:bookmarkEnd w:id="35"/>
      <w:r>
        <w:rPr/>
        <w:t>Performance dos exames físicos</w:t>
      </w:r>
      <w:bookmarkEnd w:id="36"/>
      <w:bookmarkEnd w:id="37"/>
    </w:p>
    <w:p>
      <w:pPr>
        <w:pStyle w:val="Normal"/>
        <w:spacing w:before="280" w:after="280"/>
        <w:rPr/>
      </w:pPr>
      <w:r>
        <w:rPr/>
        <w:t xml:space="preserve">A </w:t>
      </w:r>
      <w:r>
        <w:rPr>
          <w:b/>
        </w:rPr>
        <w:t>tabela 1</w:t>
      </w:r>
      <w:r>
        <w:rPr/>
        <w:t xml:space="preserve"> mostra os resultados dos dez exames físicos (EF) administrados nos participantes do estudo. Cinco exames (EF1, EF6, EF8, EF9 e EF10) demonstraram ser piores que o acaso para detectar a pubalgia presente nos participantes, obtendo resultado positivo em menos de 50% dos casos. Dois exames, por outro lado, tiveram desempenho considerado alto. Os exames EF2, EF4 demonstraram resultado positivo em 70% ou mais dos casos.</w:t>
      </w:r>
    </w:p>
    <w:p>
      <w:pPr>
        <w:pStyle w:val="Normal"/>
        <w:spacing w:before="280" w:after="280"/>
        <w:rPr/>
      </w:pPr>
      <w:r>
        <w:rPr>
          <w:b/>
        </w:rPr>
        <w:t>Tabela 1</w:t>
      </w:r>
      <w:r>
        <w:rPr/>
        <w:t xml:space="preserve"> Performance dos 10 exames físicos para detectar a pubalgia nos atletas estudados.</w:t>
      </w:r>
    </w:p>
    <w:tbl>
      <w:tblPr>
        <w:tblStyle w:val="TableNormal"/>
        <w:tblW w:w="2189" w:type="dxa"/>
        <w:jc w:val="left"/>
        <w:tblInd w:w="0" w:type="dxa"/>
        <w:tblLayout w:type="fixed"/>
        <w:tblCellMar>
          <w:top w:w="0" w:type="dxa"/>
          <w:left w:w="108" w:type="dxa"/>
          <w:bottom w:w="0" w:type="dxa"/>
          <w:right w:w="108" w:type="dxa"/>
        </w:tblCellMar>
        <w:tblLook w:val="07e0" w:noHBand="1" w:noVBand="1" w:firstColumn="1" w:lastRow="1" w:lastColumn="1" w:firstRow="1"/>
      </w:tblPr>
      <w:tblGrid>
        <w:gridCol w:w="1061"/>
        <w:gridCol w:w="1127"/>
      </w:tblGrid>
      <w:tr>
        <w:trPr/>
        <w:tc>
          <w:tcPr>
            <w:tcW w:w="1061" w:type="dxa"/>
            <w:cnfStyle w:val="000000000000" w:firstRow="0" w:lastRow="0" w:firstColumn="0" w:lastColumn="0" w:oddVBand="0" w:evenVBand="0" w:oddHBand="0" w:evenHBand="0" w:firstRowFirstColumn="0" w:firstRowLastColumn="0" w:lastRowFirstColumn="0" w:lastRowLastColumn="0"/>
            <w:tcBorders/>
            <w:shd w:color="auto" w:fill="BFBFBF" w:themeFill="background1" w:themeFillShade="bf" w:val="clear"/>
            <w:vAlign w:val="bottom"/>
          </w:tcPr>
          <w:p>
            <w:pPr>
              <w:pStyle w:val="Normal"/>
              <w:widowControl w:val="false"/>
              <w:suppressAutoHyphens w:val="true"/>
              <w:spacing w:before="0" w:after="0"/>
              <w:jc w:val="center"/>
              <w:rPr>
                <w:rFonts w:eastAsia="Calibri" w:cs=""/>
                <w:b/>
                <w:b/>
                <w:bCs/>
                <w:color w:val="auto"/>
                <w:kern w:val="0"/>
                <w:sz w:val="18"/>
                <w:szCs w:val="20"/>
                <w:lang w:val="pt-BR" w:eastAsia="pt-BR" w:bidi="ar-SA"/>
              </w:rPr>
            </w:pPr>
            <w:r>
              <w:rPr>
                <w:rFonts w:eastAsia="Calibri" w:cs=""/>
                <w:b/>
                <w:bCs/>
                <w:color w:val="auto"/>
                <w:kern w:val="0"/>
                <w:sz w:val="18"/>
                <w:szCs w:val="20"/>
                <w:lang w:val="pt-BR" w:eastAsia="pt-BR" w:bidi="ar-SA"/>
              </w:rPr>
            </w:r>
          </w:p>
        </w:tc>
        <w:tc>
          <w:tcPr>
            <w:tcW w:w="1127" w:type="dxa"/>
            <w:cnfStyle w:val="000000000000" w:firstRow="0" w:lastRow="0" w:firstColumn="0" w:lastColumn="0" w:oddVBand="0" w:evenVBand="0" w:oddHBand="0" w:evenHBand="0" w:firstRowFirstColumn="0" w:firstRowLastColumn="0" w:lastRowFirstColumn="0" w:lastRowLastColumn="0"/>
            <w:tcBorders/>
            <w:shd w:color="auto" w:fill="BFBFBF" w:themeFill="background1" w:themeFillShade="bf" w:val="clear"/>
            <w:vAlign w:val="bottom"/>
          </w:tcPr>
          <w:p>
            <w:pPr>
              <w:pStyle w:val="Normal"/>
              <w:widowControl w:val="false"/>
              <w:suppressAutoHyphens w:val="true"/>
              <w:spacing w:before="0" w:after="0"/>
              <w:jc w:val="center"/>
              <w:rPr>
                <w:rFonts w:eastAsia="Calibri" w:cs=""/>
                <w:b/>
                <w:b/>
                <w:bCs/>
                <w:color w:val="auto"/>
                <w:kern w:val="0"/>
                <w:sz w:val="18"/>
                <w:szCs w:val="20"/>
                <w:lang w:val="pt-BR" w:eastAsia="pt-BR" w:bidi="ar-SA"/>
              </w:rPr>
            </w:pPr>
            <w:r>
              <w:rPr>
                <w:rFonts w:eastAsia="Calibri" w:cs=""/>
                <w:b/>
                <w:bCs/>
                <w:color w:val="auto"/>
                <w:kern w:val="0"/>
                <w:sz w:val="18"/>
                <w:szCs w:val="20"/>
                <w:lang w:val="pt-BR" w:eastAsia="pt-BR" w:bidi="ar-SA"/>
              </w:rPr>
              <w:t>Overall</w:t>
            </w:r>
          </w:p>
        </w:tc>
      </w:tr>
      <w:tr>
        <w:trPr/>
        <w:tc>
          <w:tcPr>
            <w:tcW w:w="1061"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b/>
                <w:kern w:val="0"/>
                <w:sz w:val="18"/>
                <w:szCs w:val="20"/>
                <w:lang w:val="pt-BR" w:eastAsia="pt-BR" w:bidi="ar-SA"/>
              </w:rPr>
              <w:t>n</w:t>
            </w:r>
          </w:p>
        </w:tc>
        <w:tc>
          <w:tcPr>
            <w:tcW w:w="1127"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kern w:val="0"/>
                <w:sz w:val="18"/>
                <w:szCs w:val="20"/>
                <w:lang w:val="pt-BR" w:eastAsia="pt-BR" w:bidi="ar-SA"/>
              </w:rPr>
              <w:t>245</w:t>
            </w:r>
          </w:p>
        </w:tc>
      </w:tr>
      <w:tr>
        <w:trPr/>
        <w:tc>
          <w:tcPr>
            <w:tcW w:w="1061"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b/>
                <w:kern w:val="0"/>
                <w:sz w:val="18"/>
                <w:szCs w:val="20"/>
                <w:lang w:val="pt-BR" w:eastAsia="pt-BR" w:bidi="ar-SA"/>
              </w:rPr>
              <w:t>EF1 (%)</w:t>
            </w:r>
          </w:p>
        </w:tc>
        <w:tc>
          <w:tcPr>
            <w:tcW w:w="1127"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kern w:val="0"/>
                <w:sz w:val="18"/>
                <w:szCs w:val="20"/>
                <w:lang w:val="pt-BR" w:eastAsia="pt-BR" w:bidi="ar-SA"/>
              </w:rPr>
              <w:t>77 (31.4)</w:t>
            </w:r>
          </w:p>
        </w:tc>
      </w:tr>
      <w:tr>
        <w:trPr/>
        <w:tc>
          <w:tcPr>
            <w:tcW w:w="1061"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b/>
                <w:kern w:val="0"/>
                <w:sz w:val="18"/>
                <w:szCs w:val="20"/>
                <w:lang w:val="pt-BR" w:eastAsia="pt-BR" w:bidi="ar-SA"/>
              </w:rPr>
              <w:t>EF2 (%)</w:t>
            </w:r>
          </w:p>
        </w:tc>
        <w:tc>
          <w:tcPr>
            <w:tcW w:w="1127"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kern w:val="0"/>
                <w:sz w:val="18"/>
                <w:szCs w:val="20"/>
                <w:lang w:val="pt-BR" w:eastAsia="pt-BR" w:bidi="ar-SA"/>
              </w:rPr>
              <w:t>188 (76.7)</w:t>
            </w:r>
          </w:p>
        </w:tc>
      </w:tr>
      <w:tr>
        <w:trPr/>
        <w:tc>
          <w:tcPr>
            <w:tcW w:w="1061"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b/>
                <w:kern w:val="0"/>
                <w:sz w:val="18"/>
                <w:szCs w:val="20"/>
                <w:lang w:val="pt-BR" w:eastAsia="pt-BR" w:bidi="ar-SA"/>
              </w:rPr>
              <w:t>EF3 (%)</w:t>
            </w:r>
          </w:p>
        </w:tc>
        <w:tc>
          <w:tcPr>
            <w:tcW w:w="1127"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kern w:val="0"/>
                <w:sz w:val="18"/>
                <w:szCs w:val="20"/>
                <w:lang w:val="pt-BR" w:eastAsia="pt-BR" w:bidi="ar-SA"/>
              </w:rPr>
              <w:t>166 (67.8)</w:t>
            </w:r>
          </w:p>
        </w:tc>
      </w:tr>
      <w:tr>
        <w:trPr/>
        <w:tc>
          <w:tcPr>
            <w:tcW w:w="1061"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b/>
                <w:kern w:val="0"/>
                <w:sz w:val="18"/>
                <w:szCs w:val="20"/>
                <w:lang w:val="pt-BR" w:eastAsia="pt-BR" w:bidi="ar-SA"/>
              </w:rPr>
              <w:t>EF4 (%)</w:t>
            </w:r>
          </w:p>
        </w:tc>
        <w:tc>
          <w:tcPr>
            <w:tcW w:w="1127"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kern w:val="0"/>
                <w:sz w:val="18"/>
                <w:szCs w:val="20"/>
                <w:lang w:val="pt-BR" w:eastAsia="pt-BR" w:bidi="ar-SA"/>
              </w:rPr>
              <w:t>190 (77.6)</w:t>
            </w:r>
          </w:p>
        </w:tc>
      </w:tr>
      <w:tr>
        <w:trPr/>
        <w:tc>
          <w:tcPr>
            <w:tcW w:w="1061"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b/>
                <w:kern w:val="0"/>
                <w:sz w:val="18"/>
                <w:szCs w:val="20"/>
                <w:lang w:val="pt-BR" w:eastAsia="pt-BR" w:bidi="ar-SA"/>
              </w:rPr>
              <w:t>EF5 (%)</w:t>
            </w:r>
          </w:p>
        </w:tc>
        <w:tc>
          <w:tcPr>
            <w:tcW w:w="1127"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kern w:val="0"/>
                <w:sz w:val="18"/>
                <w:szCs w:val="20"/>
                <w:lang w:val="pt-BR" w:eastAsia="pt-BR" w:bidi="ar-SA"/>
              </w:rPr>
              <w:t>153 (62.4)</w:t>
            </w:r>
          </w:p>
        </w:tc>
      </w:tr>
      <w:tr>
        <w:trPr/>
        <w:tc>
          <w:tcPr>
            <w:tcW w:w="1061"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b/>
                <w:kern w:val="0"/>
                <w:sz w:val="18"/>
                <w:szCs w:val="20"/>
                <w:lang w:val="pt-BR" w:eastAsia="pt-BR" w:bidi="ar-SA"/>
              </w:rPr>
              <w:t>EF6 (%)</w:t>
            </w:r>
          </w:p>
        </w:tc>
        <w:tc>
          <w:tcPr>
            <w:tcW w:w="1127"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kern w:val="0"/>
                <w:sz w:val="18"/>
                <w:szCs w:val="20"/>
                <w:lang w:val="pt-BR" w:eastAsia="pt-BR" w:bidi="ar-SA"/>
              </w:rPr>
              <w:t>102 (41.6)</w:t>
            </w:r>
          </w:p>
        </w:tc>
      </w:tr>
      <w:tr>
        <w:trPr/>
        <w:tc>
          <w:tcPr>
            <w:tcW w:w="1061"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b/>
                <w:kern w:val="0"/>
                <w:sz w:val="18"/>
                <w:szCs w:val="20"/>
                <w:lang w:val="pt-BR" w:eastAsia="pt-BR" w:bidi="ar-SA"/>
              </w:rPr>
              <w:t>EF7 (%)</w:t>
            </w:r>
          </w:p>
        </w:tc>
        <w:tc>
          <w:tcPr>
            <w:tcW w:w="1127"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kern w:val="0"/>
                <w:sz w:val="18"/>
                <w:szCs w:val="20"/>
                <w:lang w:val="pt-BR" w:eastAsia="pt-BR" w:bidi="ar-SA"/>
              </w:rPr>
              <w:t>168 (68.6)</w:t>
            </w:r>
          </w:p>
        </w:tc>
      </w:tr>
      <w:tr>
        <w:trPr/>
        <w:tc>
          <w:tcPr>
            <w:tcW w:w="1061"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b/>
                <w:kern w:val="0"/>
                <w:sz w:val="18"/>
                <w:szCs w:val="20"/>
                <w:lang w:val="pt-BR" w:eastAsia="pt-BR" w:bidi="ar-SA"/>
              </w:rPr>
              <w:t>EF8 (%)</w:t>
            </w:r>
          </w:p>
        </w:tc>
        <w:tc>
          <w:tcPr>
            <w:tcW w:w="1127"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kern w:val="0"/>
                <w:sz w:val="18"/>
                <w:szCs w:val="20"/>
                <w:lang w:val="pt-BR" w:eastAsia="pt-BR" w:bidi="ar-SA"/>
              </w:rPr>
              <w:t>71 (29.0)</w:t>
            </w:r>
          </w:p>
        </w:tc>
      </w:tr>
      <w:tr>
        <w:trPr/>
        <w:tc>
          <w:tcPr>
            <w:tcW w:w="1061"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b/>
                <w:kern w:val="0"/>
                <w:sz w:val="18"/>
                <w:szCs w:val="20"/>
                <w:lang w:val="pt-BR" w:eastAsia="pt-BR" w:bidi="ar-SA"/>
              </w:rPr>
              <w:t>EF9 (%)</w:t>
            </w:r>
          </w:p>
        </w:tc>
        <w:tc>
          <w:tcPr>
            <w:tcW w:w="1127"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kern w:val="0"/>
                <w:sz w:val="18"/>
                <w:szCs w:val="20"/>
                <w:lang w:val="pt-BR" w:eastAsia="pt-BR" w:bidi="ar-SA"/>
              </w:rPr>
              <w:t>37 (15.1)</w:t>
            </w:r>
          </w:p>
        </w:tc>
      </w:tr>
      <w:tr>
        <w:trPr/>
        <w:tc>
          <w:tcPr>
            <w:tcW w:w="1061"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b/>
                <w:kern w:val="0"/>
                <w:sz w:val="18"/>
                <w:szCs w:val="20"/>
                <w:lang w:val="pt-BR" w:eastAsia="pt-BR" w:bidi="ar-SA"/>
              </w:rPr>
              <w:t>EF10 (%)</w:t>
            </w:r>
          </w:p>
        </w:tc>
        <w:tc>
          <w:tcPr>
            <w:tcW w:w="1127" w:type="dxa"/>
            <w:cnfStyle w:val="000000000000" w:firstRow="0" w:lastRow="0" w:firstColumn="0"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center"/>
              <w:rPr>
                <w:rFonts w:eastAsia="Calibri" w:cs=""/>
                <w:kern w:val="0"/>
                <w:sz w:val="18"/>
                <w:szCs w:val="20"/>
                <w:lang w:val="pt-BR" w:eastAsia="pt-BR" w:bidi="ar-SA"/>
              </w:rPr>
            </w:pPr>
            <w:r>
              <w:rPr>
                <w:rFonts w:eastAsia="Calibri" w:cs=""/>
                <w:kern w:val="0"/>
                <w:sz w:val="18"/>
                <w:szCs w:val="20"/>
                <w:lang w:val="pt-BR" w:eastAsia="pt-BR" w:bidi="ar-SA"/>
              </w:rPr>
              <w:t>120 (49.0)</w:t>
            </w:r>
          </w:p>
        </w:tc>
      </w:tr>
    </w:tbl>
    <w:p>
      <w:pPr>
        <w:pStyle w:val="Corpodotexto"/>
        <w:spacing w:before="280" w:after="280"/>
        <w:rPr/>
      </w:pPr>
      <w:r>
        <w:rPr/>
        <w:t>EF1 = Compressão ortostática do compartimento anterior;</w:t>
        <w:br/>
        <w:t>EF2 = Flexão simultânea do Quadril e do Abdômen contra resistência;</w:t>
        <w:br/>
        <w:t>EF3 = Contração dos adutores contra resistência com joelho em flexão;</w:t>
        <w:br/>
        <w:t>EF4 = Contração dos adutores contra resistência com joelho em extensão;</w:t>
        <w:br/>
        <w:t>EF5 = Palpação do anel inguinal;</w:t>
        <w:br/>
        <w:t>EF6 = Palpação do corpo do Púbis;</w:t>
        <w:br/>
        <w:t>EF7 = Palpação da inserção do Adutor no Púbis;</w:t>
        <w:br/>
        <w:t>EF8 = Flexibilidade dos isquiotibiais (Encurtamento posterior);</w:t>
        <w:br/>
        <w:t>EF9 = Arco de movimento do quadril (Limiração da RI);</w:t>
        <w:br/>
        <w:t>EF10 = Teste dos Oblíquos contra resistência (Manobra de Grava).</w:t>
      </w:r>
    </w:p>
    <w:p>
      <w:pPr>
        <w:pStyle w:val="Ttulo1"/>
        <w:spacing w:before="280" w:after="280"/>
        <w:ind w:left="431" w:hanging="431"/>
        <w:rPr/>
      </w:pPr>
      <w:bookmarkStart w:id="38" w:name="__RefHeading___Toc4867_2273284388"/>
      <w:bookmarkStart w:id="39" w:name="_Toc1464057773"/>
      <w:bookmarkStart w:id="40" w:name="discussao"/>
      <w:bookmarkEnd w:id="38"/>
      <w:r>
        <w:rPr/>
        <w:t>Discussão</w:t>
      </w:r>
      <w:bookmarkEnd w:id="39"/>
      <w:bookmarkEnd w:id="40"/>
    </w:p>
    <w:p>
      <w:pPr>
        <w:pStyle w:val="Normal"/>
        <w:spacing w:before="280" w:after="280"/>
        <w:rPr/>
      </w:pPr>
      <w:r>
        <w:rPr/>
        <w:t>Esta série de casos avaliou as distribuições dos esportes praticados por atletas com pubalgia em 25 modalidades desportivas, tanto como esporte principal como atividade secundária ou acessória (</w:t>
      </w:r>
      <w:r>
        <w:rPr>
          <w:b/>
        </w:rPr>
        <w:t>figura 1</w:t>
      </w:r>
      <w:r>
        <w:rPr/>
        <w:t>). Não é surpreendente que, no Brasil, o futebol seja o esporte mais praticado pelos pacientes atendidos com pubalgia. Neste estudo, no entanto, os atletas que demonstraram preferência por este esporte são não somente mais frequentes, mas também são os que mais praticam outras atividades (</w:t>
      </w:r>
      <w:r>
        <w:rPr>
          <w:b/>
        </w:rPr>
        <w:t>figuras 2</w:t>
      </w:r>
      <w:r>
        <w:rPr/>
        <w:t xml:space="preserve">, </w:t>
      </w:r>
      <w:r>
        <w:rPr>
          <w:b/>
        </w:rPr>
        <w:t>3</w:t>
      </w:r>
      <w:r>
        <w:rPr/>
        <w:t xml:space="preserve"> e </w:t>
      </w:r>
      <w:r>
        <w:rPr>
          <w:b/>
        </w:rPr>
        <w:t>4</w:t>
      </w:r>
      <w:r>
        <w:rPr/>
        <w:t>). A discrepância na opção por atividades acessórias é marcante: 81 jogadores de futebol relataram praticar atividades secundárias, enquanto que os dados de atletas de corrida e musculação são consideravelmente (29 e 14, respectivamente).</w:t>
      </w:r>
    </w:p>
    <w:p>
      <w:pPr>
        <w:pStyle w:val="Corpodotexto"/>
        <w:spacing w:before="280" w:after="280"/>
        <w:rPr/>
      </w:pPr>
      <w:r>
        <w:rPr/>
        <w:t>A dor foi relatada com maior frequência nas regiões inguinal e adutora e o Púbis linha média (</w:t>
      </w:r>
      <w:r>
        <w:rPr>
          <w:b/>
        </w:rPr>
        <w:t>figura 5</w:t>
      </w:r>
      <w:r>
        <w:rPr/>
        <w:t>). A troca de direção, tiros e chutes foram os movimentos com maior prevalência de dor (</w:t>
      </w:r>
      <w:r>
        <w:rPr>
          <w:b/>
        </w:rPr>
        <w:t>figura 6</w:t>
      </w:r>
      <w:r>
        <w:rPr/>
        <w:t>). Estes três movimentos têm em comum o uso de força explosiva, comparada à corrida longa. Não é evidente porém a que haja relação de causa e efeito neste tipo de movimento uma vez que o salto, que compartilha esta característica, foi o movimento com menor ocorrência de dor em nossa amostra. São necessários outros estudos independentes para confirmar as prevalências de pubalgia atlética aqui relatadas.</w:t>
      </w:r>
    </w:p>
    <w:p>
      <w:pPr>
        <w:pStyle w:val="Corpodotexto"/>
        <w:spacing w:before="280" w:after="280"/>
        <w:rPr/>
      </w:pPr>
      <w:r>
        <w:rPr/>
        <w:t>Avaliações clínicas podem ser ferramentas úteis no diagnóstico precoce da pubalgia. Nossas observações indicam que dois dos exames físicos avaliados (EF2 e EF4) são propostas promissoras apresentando resultados positivos, respectivamente, 77% e 78% dos casos. Para confirmar esta hipótese, é necessário um estudo da capacidade discriminatória destes procedimentos a fim de estimar sua sensibilidade e especificidade. Para determinar a metodologia mais adequada de avaliar estes exames, é necessário inicialmente definir o escopo de sua aplicação, se como diagnóstico inicial (</w:t>
      </w:r>
      <w:r>
        <w:rPr>
          <w:i/>
        </w:rPr>
        <w:t>screening</w:t>
      </w:r>
      <w:r>
        <w:rPr/>
        <w:t>), ou diagnóstico confirmatório.</w:t>
      </w:r>
    </w:p>
    <w:p>
      <w:pPr>
        <w:pStyle w:val="Ttulo1"/>
        <w:spacing w:before="280" w:after="280"/>
        <w:ind w:left="431" w:hanging="431"/>
        <w:rPr/>
      </w:pPr>
      <w:bookmarkStart w:id="41" w:name="__RefHeading___Toc4869_2273284388"/>
      <w:bookmarkStart w:id="42" w:name="_Toc1591852926"/>
      <w:bookmarkStart w:id="43" w:name="conclusoes"/>
      <w:bookmarkEnd w:id="41"/>
      <w:r>
        <w:rPr/>
        <w:t>Conclusões</w:t>
      </w:r>
      <w:bookmarkEnd w:id="42"/>
      <w:bookmarkEnd w:id="43"/>
    </w:p>
    <w:p>
      <w:pPr>
        <w:pStyle w:val="Ttulo1"/>
        <w:spacing w:before="280" w:after="280"/>
        <w:ind w:left="431" w:hanging="431"/>
        <w:rPr/>
      </w:pPr>
      <w:bookmarkStart w:id="44" w:name="__RefHeading___Toc4871_2273284388"/>
      <w:bookmarkStart w:id="45" w:name="_Toc1473969798"/>
      <w:bookmarkStart w:id="46" w:name="referencias"/>
      <w:bookmarkEnd w:id="44"/>
      <w:r>
        <w:rPr/>
        <w:t>Referências</w:t>
      </w:r>
      <w:bookmarkEnd w:id="45"/>
      <w:bookmarkEnd w:id="46"/>
    </w:p>
    <w:p>
      <w:pPr>
        <w:pStyle w:val="Ttulo1"/>
        <w:spacing w:before="280" w:after="280"/>
        <w:ind w:left="431" w:hanging="431"/>
        <w:rPr/>
      </w:pPr>
      <w:bookmarkStart w:id="47" w:name="__RefHeading___Toc4873_2273284388"/>
      <w:bookmarkStart w:id="48" w:name="_Toc1611496022"/>
      <w:bookmarkStart w:id="49" w:name="apendice"/>
      <w:bookmarkEnd w:id="47"/>
      <w:r>
        <w:rPr/>
        <w:t>Apêndice</w:t>
      </w:r>
      <w:bookmarkEnd w:id="48"/>
      <w:bookmarkEnd w:id="49"/>
    </w:p>
    <w:sectPr>
      <w:headerReference w:type="default" r:id="rId8"/>
      <w:footerReference w:type="default" r:id="rId9"/>
      <w:type w:val="nextPage"/>
      <w:pgSz w:w="11906" w:h="16838"/>
      <w:pgMar w:left="567" w:right="709" w:header="708" w:top="1418" w:footer="708"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Autospacing="0" w:before="280" w:afterAutospacing="0" w:after="280"/>
      <w:jc w:val="center"/>
      <w:rPr/>
    </w:pPr>
    <w:r>
      <w:rPr/>
      <mc:AlternateContent>
        <mc:Choice Requires="wps">
          <w:drawing>
            <wp:inline distT="0" distB="0" distL="0" distR="0" wp14:anchorId="46C74761">
              <wp:extent cx="6752590" cy="21590"/>
              <wp:effectExtent l="0" t="0" r="0" b="0"/>
              <wp:docPr id="12" name="Forma6"/>
              <a:graphic xmlns:a="http://schemas.openxmlformats.org/drawingml/2006/main">
                <a:graphicData uri="http://schemas.microsoft.com/office/word/2010/wordprocessingShape">
                  <wps:wsp>
                    <wps:cNvSpPr/>
                    <wps:spPr>
                      <a:xfrm>
                        <a:off x="0" y="0"/>
                        <a:ext cx="67518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6" path="m0,0l-2147483645,0l-2147483645,-2147483646l0,-2147483646xe" fillcolor="#a0a0a0" stroked="f" style="position:absolute;margin-left:0pt;margin-top:-1.7pt;width:531.6pt;height:1.6pt;mso-wrap-style:none;v-text-anchor:middle;mso-position-vertical:top" wp14:anchorId="46C74761">
              <v:fill o:detectmouseclick="t" type="solid" color2="#5f5f5f"/>
              <v:stroke color="#3465a4" joinstyle="round" endcap="flat"/>
              <w10:wrap type="square"/>
            </v:rect>
          </w:pict>
        </mc:Fallback>
      </mc:AlternateContent>
    </w:r>
  </w:p>
  <w:tbl>
    <w:tblPr>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3721"/>
      <w:gridCol w:w="252"/>
      <w:gridCol w:w="4176"/>
      <w:gridCol w:w="263"/>
      <w:gridCol w:w="1008"/>
      <w:gridCol w:w="259"/>
      <w:gridCol w:w="950"/>
    </w:tblGrid>
    <w:tr>
      <w:trPr>
        <w:trHeight w:val="850" w:hRule="exact"/>
        <w:cantSplit w:val="true"/>
      </w:trPr>
      <w:tc>
        <w:tcPr>
          <w:tcW w:w="3721" w:type="dxa"/>
          <w:tcBorders/>
          <w:shd w:color="auto" w:fill="auto" w:val="cle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t>Felipe Figueiredo</w:t>
          </w:r>
        </w:p>
        <w:p>
          <w:pPr>
            <w:pStyle w:val="Rodap"/>
            <w:widowControl w:val="false"/>
            <w:spacing w:lineRule="auto" w:line="240" w:beforeAutospacing="0" w:before="0" w:afterAutospacing="0" w:after="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jc w:val="center"/>
            <w:rPr>
              <w:rFonts w:ascii="Consolas" w:hAnsi="Consolas" w:cs="Arial"/>
              <w:bCs/>
              <w:sz w:val="18"/>
              <w:szCs w:val="18"/>
            </w:rPr>
          </w:pPr>
          <w:r>
            <w:rPr>
              <w:rFonts w:cs="Arial" w:ascii="Consolas" w:hAnsi="Consolas"/>
              <w:bCs/>
              <w:sz w:val="18"/>
              <w:szCs w:val="18"/>
            </w:rPr>
            <w:t>prof.felipefigueiredo@gmail.com</w:t>
          </w:r>
        </w:p>
      </w:tc>
      <w:tc>
        <w:tcPr>
          <w:tcW w:w="252" w:type="dxa"/>
          <w:tcBorders/>
          <w:shd w:color="auto" w:fill="auto" w:val="clear"/>
          <w:tcMar>
            <w:left w:w="0" w:type="dxa"/>
            <w:right w:w="0" w:type="dxa"/>
          </w:tcM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r>
        </w:p>
      </w:tc>
      <w:tc>
        <w:tcPr>
          <w:tcW w:w="4176" w:type="dxa"/>
          <w:tcBorders/>
          <w:shd w:color="auto" w:fill="auto" w:val="clear"/>
          <w:tcMar>
            <w:left w:w="0" w:type="dxa"/>
            <w:right w:w="0" w:type="dxa"/>
          </w:tcM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t>Consultoria de Bioestatística</w:t>
          </w:r>
        </w:p>
        <w:p>
          <w:pPr>
            <w:pStyle w:val="Rodap"/>
            <w:widowControl w:val="false"/>
            <w:spacing w:lineRule="auto" w:line="240" w:beforeAutospacing="0" w:before="0" w:afterAutospacing="0" w:after="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jc w:val="center"/>
            <w:rPr>
              <w:rFonts w:ascii="Consolas" w:hAnsi="Consolas" w:cs="Arial"/>
              <w:bCs/>
              <w:sz w:val="18"/>
              <w:szCs w:val="18"/>
            </w:rPr>
          </w:pPr>
          <w:r>
            <w:rPr>
              <w:rFonts w:cs="Arial" w:ascii="Consolas" w:hAnsi="Consolas"/>
              <w:bCs/>
              <w:sz w:val="18"/>
              <w:szCs w:val="18"/>
            </w:rPr>
            <w:t>https://github.com/philsf-biostat</w:t>
          </w:r>
        </w:p>
      </w:tc>
      <w:tc>
        <w:tcPr>
          <w:tcW w:w="263" w:type="dxa"/>
          <w:tcBorders/>
          <w:shd w:color="auto" w:fill="auto" w:val="cle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r>
        </w:p>
      </w:tc>
      <w:tc>
        <w:tcPr>
          <w:tcW w:w="1008" w:type="dxa"/>
          <w:tcBorders/>
          <w:shd w:color="auto" w:fill="auto" w:val="clear"/>
          <w:vAlign w:val="center"/>
        </w:tcPr>
        <w:p>
          <w:pPr>
            <w:pStyle w:val="Cabealho"/>
            <w:widowControl w:val="false"/>
            <w:spacing w:lineRule="auto" w:line="240" w:beforeAutospacing="0" w:before="0" w:afterAutospacing="0" w:after="0"/>
            <w:jc w:val="center"/>
            <w:rPr>
              <w:rFonts w:cs="Arial"/>
              <w:b/>
              <w:b/>
              <w:bCs/>
              <w:sz w:val="18"/>
              <w:szCs w:val="18"/>
            </w:rPr>
          </w:pPr>
          <w:r>
            <w:rPr>
              <w:rFonts w:cs="Arial"/>
              <w:b/>
              <w:bCs/>
              <w:sz w:val="18"/>
              <w:szCs w:val="18"/>
            </w:rPr>
            <w:t>Ano</w:t>
          </w:r>
        </w:p>
        <w:p>
          <w:pPr>
            <w:pStyle w:val="Cabealho"/>
            <w:widowControl w:val="false"/>
            <w:spacing w:lineRule="auto" w:line="240" w:beforeAutospacing="0" w:before="0" w:afterAutospacing="0" w:after="0"/>
            <w:jc w:val="center"/>
            <w:rPr>
              <w:rFonts w:cs="Arial"/>
              <w:bCs/>
              <w:sz w:val="18"/>
              <w:szCs w:val="18"/>
            </w:rPr>
          </w:pPr>
          <w:r>
            <w:rPr>
              <w:rFonts w:cs="Arial"/>
              <w:bCs/>
              <w:sz w:val="18"/>
              <w:szCs w:val="18"/>
            </w:rPr>
          </w:r>
        </w:p>
        <w:p>
          <w:pPr>
            <w:pStyle w:val="Cabealho"/>
            <w:widowControl w:val="false"/>
            <w:spacing w:lineRule="auto" w:line="240" w:beforeAutospacing="0" w:before="0" w:afterAutospacing="0" w:after="0"/>
            <w:jc w:val="center"/>
            <w:rPr>
              <w:rFonts w:cs="Arial"/>
              <w:bCs/>
              <w:sz w:val="18"/>
              <w:szCs w:val="18"/>
            </w:rPr>
          </w:pPr>
          <w:r>
            <w:rPr>
              <w:rFonts w:cs="Arial"/>
              <w:bCs/>
              <w:sz w:val="18"/>
              <w:szCs w:val="18"/>
            </w:rPr>
            <w:t>2018</w:t>
          </w:r>
        </w:p>
      </w:tc>
      <w:tc>
        <w:tcPr>
          <w:tcW w:w="259" w:type="dxa"/>
          <w:tcBorders/>
          <w:shd w:color="auto" w:fill="auto" w:val="clear"/>
          <w:vAlign w:val="center"/>
        </w:tcPr>
        <w:p>
          <w:pPr>
            <w:pStyle w:val="Cabealho"/>
            <w:widowControl w:val="false"/>
            <w:spacing w:lineRule="auto" w:line="240" w:beforeAutospacing="0" w:before="0" w:afterAutospacing="0" w:after="0"/>
            <w:jc w:val="center"/>
            <w:rPr>
              <w:rFonts w:cs="Arial"/>
              <w:b/>
              <w:b/>
              <w:bCs/>
              <w:sz w:val="18"/>
              <w:szCs w:val="18"/>
            </w:rPr>
          </w:pPr>
          <w:r>
            <w:rPr>
              <w:rFonts w:cs="Arial"/>
              <w:b/>
              <w:bCs/>
              <w:sz w:val="18"/>
              <w:szCs w:val="18"/>
            </w:rPr>
          </w:r>
        </w:p>
      </w:tc>
      <w:tc>
        <w:tcPr>
          <w:tcW w:w="950" w:type="dxa"/>
          <w:tcBorders/>
          <w:shd w:color="auto" w:fill="auto" w:val="clear"/>
          <w:vAlign w:val="center"/>
        </w:tcPr>
        <w:p>
          <w:pPr>
            <w:pStyle w:val="Rodap"/>
            <w:widowControl w:val="false"/>
            <w:spacing w:lineRule="auto" w:line="240" w:beforeAutospacing="0" w:before="0" w:afterAutospacing="0" w:after="0"/>
            <w:jc w:val="center"/>
            <w:rPr>
              <w:rFonts w:cs="Arial"/>
              <w:b/>
              <w:b/>
              <w:bCs/>
              <w:sz w:val="18"/>
              <w:szCs w:val="18"/>
            </w:rPr>
          </w:pPr>
          <w:r>
            <w:rPr>
              <w:rFonts w:cs="Arial"/>
              <w:b/>
              <w:bCs/>
              <w:sz w:val="18"/>
              <w:szCs w:val="18"/>
            </w:rPr>
            <w:t>Página</w:t>
          </w:r>
        </w:p>
        <w:p>
          <w:pPr>
            <w:pStyle w:val="Rodap"/>
            <w:widowControl w:val="false"/>
            <w:spacing w:lineRule="auto" w:line="240" w:beforeAutospacing="0" w:before="0" w:afterAutospacing="0" w:after="0"/>
            <w:jc w:val="center"/>
            <w:rPr>
              <w:rFonts w:cs="Arial"/>
              <w:b/>
              <w:b/>
              <w:sz w:val="18"/>
              <w:szCs w:val="18"/>
            </w:rPr>
          </w:pPr>
          <w:r>
            <w:rPr>
              <w:rFonts w:cs="Arial"/>
              <w:b/>
              <w:sz w:val="18"/>
              <w:szCs w:val="18"/>
            </w:rPr>
          </w:r>
        </w:p>
        <w:p>
          <w:pPr>
            <w:pStyle w:val="Rodap"/>
            <w:widowControl w:val="false"/>
            <w:spacing w:lineRule="auto" w:line="240" w:beforeAutospacing="0" w:before="0" w:afterAutospacing="0" w:after="0"/>
            <w:jc w:val="center"/>
            <w:rPr>
              <w:rFonts w:cs="Arial"/>
              <w:b/>
              <w:b/>
              <w:sz w:val="18"/>
              <w:szCs w:val="18"/>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11</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11</w:t>
          </w:r>
          <w:r>
            <w:rPr>
              <w:sz w:val="18"/>
              <w:b/>
              <w:szCs w:val="18"/>
              <w:rFonts w:cs="Arial"/>
            </w:rPr>
            <w:fldChar w:fldCharType="end"/>
          </w:r>
        </w:p>
      </w:tc>
    </w:tr>
  </w:tbl>
  <w:p>
    <w:pPr>
      <w:pStyle w:val="Rodap"/>
      <w:spacing w:lineRule="auto" w:line="240"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0630"/>
    </w:tblGrid>
    <w:tr>
      <w:trPr>
        <w:trHeight w:val="794" w:hRule="atLeast"/>
      </w:trPr>
      <w:tc>
        <w:tcPr>
          <w:tcW w:w="10630" w:type="dxa"/>
          <w:tcBorders>
            <w:top w:val="nil"/>
            <w:left w:val="nil"/>
            <w:bottom w:val="nil"/>
            <w:right w:val="nil"/>
          </w:tcBorders>
          <w:shd w:color="auto" w:fill="auto" w:val="clear"/>
          <w:vAlign w:val="center"/>
        </w:tcPr>
        <w:p>
          <w:pPr>
            <w:pStyle w:val="Normal"/>
            <w:widowControl w:val="false"/>
            <w:suppressAutoHyphens w:val="true"/>
            <w:spacing w:lineRule="auto" w:line="240" w:beforeAutospacing="0" w:before="0" w:afterAutospacing="0" w:after="0"/>
            <w:jc w:val="center"/>
            <w:rPr>
              <w:rFonts w:eastAsia="Calibri" w:cs=""/>
              <w:b/>
              <w:b/>
              <w:kern w:val="0"/>
              <w:sz w:val="20"/>
              <w:szCs w:val="22"/>
              <w:lang w:val="pt-BR" w:eastAsia="en-US" w:bidi="ar-SA"/>
            </w:rPr>
          </w:pPr>
          <w:r>
            <w:rPr>
              <w:rFonts w:eastAsia="Calibri" w:cs=""/>
              <w:b/>
              <w:kern w:val="0"/>
              <w:sz w:val="20"/>
              <w:szCs w:val="22"/>
              <w:lang w:val="pt-BR" w:eastAsia="en-US" w:bidi="ar-SA"/>
            </w:rPr>
            <w:t>Relatório de Análise de Dados</w:t>
          </w:r>
        </w:p>
        <w:p>
          <w:pPr>
            <w:pStyle w:val="Normal"/>
            <w:widowControl w:val="false"/>
            <w:suppressAutoHyphens w:val="true"/>
            <w:spacing w:lineRule="auto" w:line="240" w:beforeAutospacing="0" w:before="0" w:afterAutospacing="0" w:after="0"/>
            <w:jc w:val="center"/>
            <w:rPr>
              <w:rFonts w:eastAsia="Calibri" w:cs=""/>
              <w:kern w:val="0"/>
              <w:sz w:val="20"/>
              <w:szCs w:val="22"/>
              <w:lang w:val="pt-BR" w:eastAsia="en-US" w:bidi="ar-SA"/>
            </w:rPr>
          </w:pPr>
          <w:r>
            <w:rPr>
              <w:rFonts w:eastAsia="Calibri" w:cs=""/>
              <w:kern w:val="0"/>
              <w:sz w:val="20"/>
              <w:szCs w:val="22"/>
              <w:lang w:val="pt-BR" w:eastAsia="en-US" w:bidi="ar-SA"/>
            </w:rPr>
            <w:t>Consultoria de Bioestatística</w:t>
          </w:r>
        </w:p>
      </w:tc>
    </w:tr>
    <w:tr>
      <w:trPr>
        <w:trHeight w:val="170" w:hRule="atLeast"/>
      </w:trPr>
      <w:tc>
        <w:tcPr>
          <w:tcW w:w="10630" w:type="dxa"/>
          <w:tcBorders>
            <w:top w:val="nil"/>
            <w:left w:val="nil"/>
            <w:bottom w:val="nil"/>
            <w:right w:val="nil"/>
          </w:tcBorders>
          <w:shd w:color="auto" w:fill="auto" w:val="clear"/>
          <w:vAlign w:val="center"/>
        </w:tcPr>
        <w:p>
          <w:pPr>
            <w:pStyle w:val="Normal"/>
            <w:widowControl w:val="false"/>
            <w:suppressAutoHyphens w:val="true"/>
            <w:spacing w:lineRule="auto" w:line="240" w:beforeAutospacing="0" w:before="0" w:afterAutospacing="0" w:after="0"/>
            <w:jc w:val="center"/>
            <w:rPr>
              <w:rFonts w:eastAsia="Calibri" w:cs=""/>
              <w:kern w:val="0"/>
              <w:sz w:val="20"/>
              <w:szCs w:val="22"/>
              <w:lang w:val="pt-BR" w:eastAsia="en-US" w:bidi="ar-SA"/>
            </w:rPr>
          </w:pPr>
          <w:r>
            <w:rPr>
              <w:rFonts w:eastAsia="Calibri" w:cs=""/>
              <w:kern w:val="0"/>
              <w:sz w:val="20"/>
              <w:szCs w:val="22"/>
              <w:lang w:val="pt-BR" w:eastAsia="en-US" w:bidi="ar-SA"/>
            </w:rPr>
          </w:r>
        </w:p>
      </w:tc>
    </w:tr>
    <w:tr>
      <w:trPr>
        <w:trHeight w:val="227" w:hRule="atLeast"/>
      </w:trPr>
      <w:tc>
        <w:tcPr>
          <w:tcW w:w="10630" w:type="dxa"/>
          <w:tcBorders>
            <w:top w:val="nil"/>
            <w:left w:val="nil"/>
            <w:bottom w:val="nil"/>
            <w:right w:val="nil"/>
          </w:tcBorders>
          <w:shd w:color="auto" w:fill="auto" w:val="clear"/>
          <w:vAlign w:val="center"/>
        </w:tcPr>
        <w:p>
          <w:pPr>
            <w:pStyle w:val="Normal"/>
            <w:widowControl w:val="false"/>
            <w:suppressAutoHyphens w:val="true"/>
            <w:spacing w:lineRule="auto" w:line="240" w:beforeAutospacing="0" w:before="0" w:afterAutospacing="0" w:after="0"/>
            <w:jc w:val="center"/>
            <w:rPr>
              <w:rFonts w:eastAsia="Calibri" w:cs=""/>
              <w:b/>
              <w:b/>
              <w:kern w:val="0"/>
              <w:sz w:val="18"/>
              <w:szCs w:val="18"/>
              <w:lang w:val="pt-BR" w:eastAsia="en-US" w:bidi="ar-SA"/>
            </w:rPr>
          </w:pPr>
          <w:r>
            <w:rPr>
              <w:rFonts w:eastAsia="Calibri" w:cs=""/>
              <w:b/>
              <w:kern w:val="0"/>
              <w:sz w:val="18"/>
              <w:szCs w:val="18"/>
              <w:lang w:val="pt-BR" w:eastAsia="en-US" w:bidi="ar-SA"/>
            </w:rPr>
            <w:t>https://github.com/philsf-biostat/analise_dados_RG_2018</w:t>
          </w:r>
        </w:p>
      </w:tc>
    </w:tr>
  </w:tbl>
  <w:sdt>
    <w:sdtPr>
      <w:docPartObj>
        <w:docPartGallery w:val="Watermarks"/>
        <w:docPartUnique w:val="true"/>
      </w:docPartObj>
      <w:id w:val="1737604046"/>
    </w:sdtPr>
    <w:sdtContent>
      <w:p>
        <w:pPr>
          <w:pStyle w:val="Normal"/>
          <w:spacing w:lineRule="auto" w:line="240" w:beforeAutospacing="0" w:before="280" w:afterAutospacing="0" w:after="280"/>
          <w:jc w:val="center"/>
          <w:rPr/>
        </w:pPr>
        <w:r>
          <w:rPr/>
          <mc:AlternateContent>
            <mc:Choice Requires="wps">
              <w:drawing>
                <wp:anchor behindDoc="1" distT="0" distB="0" distL="0" distR="0" simplePos="0" locked="0" layoutInCell="0" allowOverlap="1" relativeHeight="20" wp14:anchorId="7FE46A9B">
                  <wp:simplePos x="0" y="0"/>
                  <wp:positionH relativeFrom="column">
                    <wp:posOffset>0</wp:posOffset>
                  </wp:positionH>
                  <wp:positionV relativeFrom="paragraph">
                    <wp:posOffset>635</wp:posOffset>
                  </wp:positionV>
                  <wp:extent cx="636905" cy="636905"/>
                  <wp:effectExtent l="9525" t="9525" r="12700" b="12700"/>
                  <wp:wrapNone/>
                  <wp:docPr id="9" name="shapetype_136" hidden="1"/>
                  <a:graphic xmlns:a="http://schemas.openxmlformats.org/drawingml/2006/main">
                    <a:graphicData uri="http://schemas.microsoft.com/office/word/2010/wordprocessingShape">
                      <wps:wsp>
                        <wps:cNvSpPr/>
                        <wps:spPr>
                          <a:xfrm>
                            <a:off x="0" y="0"/>
                            <a:ext cx="636120" cy="636120"/>
                          </a:xfrm>
                          <a:custGeom>
                            <a:avLst/>
                            <a:gdLst/>
                            <a:ahLst/>
                            <a:rect l="l" t="t" r="r" b="b"/>
                            <a:pathLst>
                              <a:path w="21600" h="21600">
                                <a:moveTo>
                                  <a:pt x="0" y="0"/>
                                </a:moveTo>
                                <a:lnTo>
                                  <a:pt x="21600" y="0"/>
                                </a:lnTo>
                                <a:moveTo>
                                  <a:pt x="0" y="21600"/>
                                </a:moveTo>
                                <a:lnTo>
                                  <a:pt x="21600" y="21600"/>
                                </a:lnTo>
                              </a:path>
                            </a:pathLst>
                          </a:custGeom>
                          <a:solidFill>
                            <a:srgbClr val="ffffff"/>
                          </a:solidFill>
                          <a:ln w="9525">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s">
              <w:drawing>
                <wp:inline distT="0" distB="0" distL="0" distR="0" wp14:anchorId="70448A0D">
                  <wp:extent cx="6752590" cy="21590"/>
                  <wp:effectExtent l="0" t="0" r="0" b="0"/>
                  <wp:docPr id="10" name="Forma4"/>
                  <a:graphic xmlns:a="http://schemas.openxmlformats.org/drawingml/2006/main">
                    <a:graphicData uri="http://schemas.microsoft.com/office/word/2010/wordprocessingShape">
                      <wps:wsp>
                        <wps:cNvSpPr/>
                        <wps:spPr>
                          <a:xfrm>
                            <a:off x="0" y="0"/>
                            <a:ext cx="675180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4" path="m0,0l-2147483645,0l-2147483645,-2147483646l0,-2147483646xe" fillcolor="#a0a0a0" stroked="f" style="position:absolute;margin-left:0pt;margin-top:-1.7pt;width:531.6pt;height:1.6pt;mso-wrap-style:none;v-text-anchor:middle;mso-position-vertical:top" wp14:anchorId="70448A0D">
                  <v:fill o:detectmouseclick="t" type="solid" color2="#5f5f5f"/>
                  <v:stroke color="#3465a4" joinstyle="round" endcap="flat"/>
                  <w10:wrap type="square"/>
                </v:rect>
              </w:pict>
            </mc:Fallback>
          </mc:AlternateConten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57831064" o:spid="shape_0" fillcolor="silver" stroked="f" style="position:absolute;margin-left:59.6pt;margin-top:229.9pt;width:412.2pt;height:87.55pt;mso-wrap-style:none;v-text-anchor:middle;rotation:315;mso-position-horizontal:center;mso-position-vertical:center;mso-position-vertical-relative:margin" type="shapetype_136">
              <v:path textpathok="t"/>
              <v:textpath on="t" fitshape="t" string="RASCUNHO" trim="t" style="font-family:&quot;calibri&quot;;font-size:1pt"/>
              <v:fill o:detectmouseclick="t" type="solid" color2="#3f3f3f" opacity="0.5"/>
              <v:stroke color="#3465a4" joinstyle="round" endcap="flat"/>
              <w10:wrap type="none"/>
            </v:shape>
          </w:pic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4269"/>
    <w:pPr>
      <w:widowControl/>
      <w:suppressAutoHyphens w:val="true"/>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name w:val="Link da Internet"/>
    <w:basedOn w:val="DefaultParagraphFont"/>
    <w:uiPriority w:val="99"/>
    <w:unhideWhenUsed/>
    <w:rsid w:val="003d0725"/>
    <w:rPr>
      <w:color w:val="0563C1" w:themeColor="hyperlink"/>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Vnculodendice" w:customStyle="1">
    <w:name w:val="Vínculo de índice"/>
    <w:qFormat/>
    <w:rPr/>
  </w:style>
  <w:style w:type="character" w:styleId="KeywordTok" w:customStyle="1">
    <w:name w:val="KeywordTok"/>
    <w:qFormat/>
    <w:rPr>
      <w:b/>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b/>
      <w:i/>
      <w:color w:val="8F5902"/>
      <w:shd w:fill="F8F8F8" w:val="clear"/>
    </w:rPr>
  </w:style>
  <w:style w:type="character" w:styleId="AnnotationTok" w:customStyle="1">
    <w:name w:val="AnnotationTok"/>
    <w:qFormat/>
    <w:rPr>
      <w:b/>
      <w:i/>
      <w:color w:val="8F5902"/>
      <w:shd w:fill="F8F8F8" w:val="clear"/>
    </w:rPr>
  </w:style>
  <w:style w:type="character" w:styleId="CommentVarTok" w:customStyle="1">
    <w:name w:val="CommentVarTok"/>
    <w:qFormat/>
    <w:rPr>
      <w:b/>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b/>
      <w:color w:val="204A87"/>
      <w:shd w:fill="F8F8F8" w:val="clear"/>
    </w:rPr>
  </w:style>
  <w:style w:type="character" w:styleId="OperatorTok" w:customStyle="1">
    <w:name w:val="OperatorTok"/>
    <w:qFormat/>
    <w:rPr>
      <w:b/>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b/>
      <w:i/>
      <w:color w:val="8F5902"/>
      <w:shd w:fill="F8F8F8" w:val="clear"/>
    </w:rPr>
  </w:style>
  <w:style w:type="character" w:styleId="WarningTok" w:customStyle="1">
    <w:name w:val="WarningTok"/>
    <w:qFormat/>
    <w:rPr>
      <w:b/>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b/>
      <w:color w:val="A40000"/>
      <w:shd w:fill="F8F8F8" w:val="clear"/>
    </w:rPr>
  </w:style>
  <w:style w:type="character" w:styleId="NormalTok" w:customStyle="1">
    <w:name w:val="NormalTok"/>
    <w:qFormat/>
    <w:rPr>
      <w:shd w:fill="F8F8F8" w:val="clear"/>
    </w:rPr>
  </w:style>
  <w:style w:type="character" w:styleId="TextodebaloChar" w:customStyle="1">
    <w:name w:val="Texto de balão Char"/>
    <w:basedOn w:val="DefaultParagraphFont"/>
    <w:link w:val="Textodebalo"/>
    <w:uiPriority w:val="99"/>
    <w:semiHidden/>
    <w:qFormat/>
    <w:rsid w:val="003d0725"/>
    <w:rPr>
      <w:rFonts w:ascii="Tahoma" w:hAnsi="Tahoma" w:cs="Tahoma"/>
      <w:sz w:val="16"/>
      <w:szCs w:val="16"/>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4e6bd2"/>
    <w:pPr>
      <w:tabs>
        <w:tab w:val="clear" w:pos="720"/>
        <w:tab w:val="center" w:pos="4252" w:leader="none"/>
        <w:tab w:val="right" w:pos="8504" w:leader="none"/>
      </w:tabs>
      <w:spacing w:before="280" w:after="280"/>
    </w:pPr>
    <w:rPr/>
  </w:style>
  <w:style w:type="paragraph" w:styleId="Rodap">
    <w:name w:val="Footer"/>
    <w:basedOn w:val="Normal"/>
    <w:link w:val="RodapChar"/>
    <w:uiPriority w:val="99"/>
    <w:unhideWhenUsed/>
    <w:rsid w:val="004e6bd2"/>
    <w:pPr>
      <w:tabs>
        <w:tab w:val="clear" w:pos="720"/>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suppressAutoHyphens w:val="true"/>
      <w:bidi w:val="0"/>
      <w:spacing w:lineRule="auto" w:line="252" w:before="0" w:after="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SourceCode" w:customStyle="1">
    <w:name w:val="Source Code"/>
    <w:basedOn w:val="Normal"/>
    <w:qFormat/>
    <w:pPr>
      <w:shd w:val="clear" w:color="auto" w:fill="F8F8F8"/>
    </w:pPr>
    <w:rPr/>
  </w:style>
  <w:style w:type="paragraph" w:styleId="BalloonText">
    <w:name w:val="Balloon Text"/>
    <w:basedOn w:val="Normal"/>
    <w:link w:val="TextodebaloChar"/>
    <w:uiPriority w:val="99"/>
    <w:semiHidden/>
    <w:unhideWhenUsed/>
    <w:qFormat/>
    <w:rsid w:val="003d0725"/>
    <w:pPr>
      <w:spacing w:lineRule="auto" w:line="240"/>
    </w:pPr>
    <w:rPr>
      <w:rFonts w:ascii="Tahoma" w:hAnsi="Tahoma" w:cs="Tahoma"/>
      <w:sz w:val="16"/>
      <w:szCs w:val="16"/>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Light">
    <w:name w:val="Grid Table Light"/>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customStyle="1" w:styleId="PlainTable1">
    <w:name w:val="Plain Table 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Normal">
    <w:name w:val="Normal Table0"/>
    <w:basedOn w:val="Tabelaprofissional"/>
    <w:uiPriority w:val="99"/>
    <w:rsid w:val="000c686b"/>
    <w:rPr>
      <w:lang w:eastAsia="pt-BR"/>
      <w:sz w:val="18"/>
      <w:szCs w:val="20"/>
    </w:rPr>
    <w:tblPr>
      <w:tblStyleRowBandSize w:val="1"/>
      <w:tblStyleColBandSize w:val="1"/>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6bdf3d7-079d-4f1d-9b3f-a6190cdd7a79}"/>
      </w:docPartPr>
      <w:docPartBody>
        <w:p w14:paraId="2C862A67">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LibreOffice/7.1.5.2$Linux_X86_64 LibreOffice_project/10$Build-2</Application>
  <AppVersion>15.0000</AppVersion>
  <Pages>11</Pages>
  <Words>1467</Words>
  <Characters>8203</Characters>
  <CharactersWithSpaces>9542</CharactersWithSpaces>
  <Paragraphs>117</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2019-07-12T17:44:00Z</dcterms:created>
  <dc:creator>De: Felipe Figueiredo Para: Rodrigo Góes</dc:creator>
  <dc:description/>
  <dc:language>pt-BR</dc:language>
  <cp:lastModifiedBy>Felipe Figueiredo</cp:lastModifiedBy>
  <dcterms:modified xsi:type="dcterms:W3CDTF">2021-08-21T00:37:41Z</dcterms:modified>
  <cp:revision>7</cp:revision>
  <dc:subject/>
  <dc:title>Análise exploratória de dados de pacientes com pubalgia atlética no Brasil</dc:title>
</cp:coreProperties>
</file>

<file path=docProps/custom.xml><?xml version="1.0" encoding="utf-8"?>
<Properties xmlns="http://schemas.openxmlformats.org/officeDocument/2006/custom-properties" xmlns:vt="http://schemas.openxmlformats.org/officeDocument/2006/docPropsVTypes"/>
</file>