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Prevalência</w:t>
      </w:r>
      <w:r>
        <w:t xml:space="preserve"> </w:t>
      </w:r>
      <w:r>
        <w:t xml:space="preserve">de</w:t>
      </w:r>
      <w:r>
        <w:t xml:space="preserve"> </w:t>
      </w:r>
      <w:r>
        <w:t xml:space="preserve">disfagia</w:t>
      </w:r>
      <w:r>
        <w:t xml:space="preserve"> </w:t>
      </w:r>
      <w:r>
        <w:t xml:space="preserve">e</w:t>
      </w:r>
      <w:r>
        <w:t xml:space="preserve"> </w:t>
      </w:r>
      <w:r>
        <w:t xml:space="preserve">disfonia</w:t>
      </w:r>
      <w:r>
        <w:t xml:space="preserve"> </w:t>
      </w:r>
      <w:r>
        <w:t xml:space="preserve">no</w:t>
      </w:r>
      <w:r>
        <w:t xml:space="preserve"> </w:t>
      </w:r>
      <w:r>
        <w:t xml:space="preserve">pós-operatório</w:t>
      </w:r>
      <w:r>
        <w:t xml:space="preserve"> </w:t>
      </w:r>
      <w:r>
        <w:t xml:space="preserve">tardio</w:t>
      </w:r>
      <w:r>
        <w:t xml:space="preserve"> </w:t>
      </w:r>
      <w:r>
        <w:t xml:space="preserve">de</w:t>
      </w:r>
      <w:r>
        <w:t xml:space="preserve"> </w:t>
      </w:r>
      <w:r>
        <w:t xml:space="preserve">Artrodese</w:t>
      </w:r>
      <w:r>
        <w:t xml:space="preserve"> </w:t>
      </w:r>
      <w:r>
        <w:t xml:space="preserve">Cervical</w:t>
      </w:r>
      <w:r>
        <w:t xml:space="preserve"> </w:t>
      </w:r>
      <w:r>
        <w:t xml:space="preserve">Anterior</w:t>
      </w:r>
    </w:p>
    <w:p>
      <w:pPr>
        <w:pStyle w:val="Subttulo"/>
      </w:pPr>
      <w:r>
        <w:t xml:space="preserve">CÓDIGO:</w:t>
      </w:r>
      <w:r>
        <w:t xml:space="preserve"> </w:t>
      </w:r>
      <w:r>
        <w:t xml:space="preserve">analise_dados_FC_2018a-v01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Felipe</w:t>
      </w:r>
      <w:r>
        <w:t xml:space="preserve"> </w:t>
      </w:r>
      <w:r>
        <w:t xml:space="preserve">Carrasco</w:t>
      </w:r>
    </w:p>
    <w:p>
      <w:pPr>
        <w:pStyle w:val="Date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02/08/2018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Versão inicial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assinaturas"/>
      <w:bookmarkEnd w:id="21"/>
      <w:r>
        <w:t xml:space="preserve">Assinaturas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Papel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Assinatura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Elaborador</w:t>
            </w:r>
          </w:p>
        </w:tc>
        <w:tc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p>
            <w:pPr>
              <w:pStyle w:val="Compact"/>
              <w:jc w:val="left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left"/>
            </w:pPr>
            <w:r>
              <w:t xml:space="preserve">_____________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Revisado por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left"/>
            </w:pPr>
            <w:r>
              <w:t xml:space="preserve">_____________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Verificado por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left"/>
            </w:pPr>
            <w:r>
              <w:t xml:space="preserve">_____________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Aprovação final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__________________________</w:t>
            </w:r>
          </w:p>
        </w:tc>
        <w:tc>
          <w:p>
            <w:pPr>
              <w:pStyle w:val="Compact"/>
              <w:jc w:val="left"/>
            </w:pPr>
            <w:r>
              <w:t xml:space="preserve">_____________</w:t>
            </w:r>
          </w:p>
        </w:tc>
      </w:tr>
    </w:tbl>
    <w:p>
      <w:pPr>
        <w:pStyle w:val="Ttulo1"/>
      </w:pPr>
      <w:bookmarkStart w:id="22" w:name="lista-de-abreviaturas"/>
      <w:bookmarkEnd w:id="22"/>
      <w:r>
        <w:t xml:space="preserve">Lista de abreviaturas</w:t>
      </w:r>
    </w:p>
    <w:p>
      <w:pPr>
        <w:pStyle w:val="Ttulo1"/>
      </w:pPr>
      <w:bookmarkStart w:id="23" w:name="introducao"/>
      <w:bookmarkEnd w:id="23"/>
      <w:r>
        <w:t xml:space="preserve">Introdução</w:t>
      </w:r>
    </w:p>
    <w:p>
      <w:pPr>
        <w:pStyle w:val="Ttulo2"/>
      </w:pPr>
      <w:bookmarkStart w:id="24" w:name="objetivos"/>
      <w:bookmarkEnd w:id="24"/>
      <w:r>
        <w:t xml:space="preserve">Objetivos</w:t>
      </w:r>
    </w:p>
    <w:p>
      <w:pPr>
        <w:pStyle w:val="Ttulo2"/>
      </w:pPr>
      <w:bookmarkStart w:id="25" w:name="recepcao-e-tratamento-dos-dados"/>
      <w:bookmarkEnd w:id="25"/>
      <w:r>
        <w:t xml:space="preserve">Recepção e tratamento dos dados</w:t>
      </w:r>
    </w:p>
    <w:p>
      <w:pPr>
        <w:pStyle w:val="Ttulo1"/>
      </w:pPr>
      <w:bookmarkStart w:id="26" w:name="metodologia"/>
      <w:bookmarkEnd w:id="26"/>
      <w:r>
        <w:t xml:space="preserve">Metodologia</w:t>
      </w:r>
    </w:p>
    <w:p>
      <w:pPr>
        <w:pStyle w:val="FirstParagraph"/>
      </w:pPr>
      <w:r>
        <w:t xml:space="preserve">Esta análise foi realizada utilizando-se 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3.4.4.</w:t>
      </w:r>
    </w:p>
    <w:p>
      <w:pPr>
        <w:pStyle w:val="Ttulo1"/>
      </w:pPr>
      <w:bookmarkStart w:id="27" w:name="resultados"/>
      <w:bookmarkEnd w:id="27"/>
      <w:r>
        <w:t xml:space="preserve">Resultados</w:t>
      </w:r>
    </w:p>
    <w:p>
      <w:pPr>
        <w:pStyle w:val="Ttulo2"/>
      </w:pPr>
      <w:bookmarkStart w:id="28" w:name="prevalencia-da-disfagia-e-disfonia"/>
      <w:bookmarkEnd w:id="28"/>
      <w:r>
        <w:t xml:space="preserve">Prevalência da disfagia e disfonia</w:t>
      </w:r>
    </w:p>
    <w:p>
      <w:pPr>
        <w:pStyle w:val="FirstParagraph"/>
      </w:pPr>
      <w:r>
        <w:t xml:space="preserve">No total, N=15 pacientes retornaram para a avaliação de disfagia e disfonia no pós operatório tardio.</w:t>
      </w:r>
    </w:p>
    <w:p>
      <w:pPr>
        <w:pStyle w:val="Corpodetexto"/>
      </w:pPr>
      <w:r>
        <w:t xml:space="preserve">A disfagia foi diagnosticada em</w:t>
      </w:r>
      <w:r>
        <w:t xml:space="preserve"> </w:t>
      </w:r>
      <w:r>
        <w:t xml:space="preserve">8</w:t>
      </w:r>
      <w:r>
        <w:t xml:space="preserve"> </w:t>
      </w:r>
      <w:r>
        <w:t xml:space="preserve">pacientes com taxa de prevalência estimada em</w:t>
      </w:r>
      <w:r>
        <w:t xml:space="preserve"> </w:t>
      </w:r>
      <w:r>
        <w:t xml:space="preserve">53.3%</w:t>
      </w:r>
      <w:r>
        <w:t xml:space="preserve"> </w:t>
      </w:r>
      <w:r>
        <w:t xml:space="preserve">(IC 95%:</w:t>
      </w:r>
      <w:r>
        <w:t xml:space="preserve"> </w:t>
      </w:r>
      <w:r>
        <w:t xml:space="preserve">[27.4, 77.7]</w:t>
      </w:r>
      <w:r>
        <w:t xml:space="preserve"> </w:t>
      </w:r>
      <w:r>
        <w:t xml:space="preserve">) no período estudado.</w:t>
      </w:r>
      <w:r>
        <w:t xml:space="preserve"> </w:t>
      </w:r>
      <w:r>
        <w:t xml:space="preserve">A disfonia foi diagnosticada em</w:t>
      </w:r>
      <w:r>
        <w:t xml:space="preserve"> </w:t>
      </w:r>
      <w:r>
        <w:t xml:space="preserve">10</w:t>
      </w:r>
      <w:r>
        <w:t xml:space="preserve"> </w:t>
      </w:r>
      <w:r>
        <w:t xml:space="preserve">pacientes, com taxa de prevalência estimada em</w:t>
      </w:r>
      <w:r>
        <w:t xml:space="preserve"> </w:t>
      </w:r>
      <w:r>
        <w:t xml:space="preserve">66.7%</w:t>
      </w:r>
      <w:r>
        <w:t xml:space="preserve"> </w:t>
      </w:r>
      <w:r>
        <w:t xml:space="preserve">(IC 95%:</w:t>
      </w:r>
      <w:r>
        <w:t xml:space="preserve"> </w:t>
      </w:r>
      <w:r>
        <w:t xml:space="preserve">[38.7, 87.0]</w:t>
      </w:r>
      <w:r>
        <w:t xml:space="preserve"> </w:t>
      </w:r>
      <w:r>
        <w:t xml:space="preserve">) no período estudado.</w:t>
      </w:r>
    </w:p>
    <w:p>
      <w:pPr>
        <w:pStyle w:val="Corpodetexto"/>
      </w:pPr>
      <w:r>
        <w:t xml:space="preserve">Dentre os 15</w:t>
      </w:r>
      <w:r>
        <w:t xml:space="preserve"> </w:t>
      </w:r>
      <w:r>
        <w:t xml:space="preserve">pacientes,</w:t>
      </w:r>
      <w:r>
        <w:t xml:space="preserve"> </w:t>
      </w:r>
      <w:r>
        <w:t xml:space="preserve">2</w:t>
      </w:r>
      <w:r>
        <w:t xml:space="preserve"> </w:t>
      </w:r>
      <w:r>
        <w:t xml:space="preserve">(13.3%)</w:t>
      </w:r>
      <w:r>
        <w:t xml:space="preserve"> </w:t>
      </w:r>
      <w:r>
        <w:t xml:space="preserve">tiveram diagnóstico negativo para ambas condições e</w:t>
      </w:r>
      <w:r>
        <w:t xml:space="preserve"> </w:t>
      </w:r>
      <w:r>
        <w:t xml:space="preserve">5</w:t>
      </w:r>
      <w:r>
        <w:t xml:space="preserve"> </w:t>
      </w:r>
      <w:r>
        <w:t xml:space="preserve">(33.3%)</w:t>
      </w:r>
      <w:r>
        <w:t xml:space="preserve"> </w:t>
      </w:r>
      <w:r>
        <w:t xml:space="preserve">tiveram diagnóstico positivo para ambas condições.</w:t>
      </w:r>
      <w:r>
        <w:t xml:space="preserve"> </w:t>
      </w:r>
      <w:r>
        <w:t xml:space="preserve">Houve</w:t>
      </w:r>
      <w:r>
        <w:t xml:space="preserve"> </w:t>
      </w:r>
      <w:r>
        <w:t xml:space="preserve">3</w:t>
      </w:r>
      <w:r>
        <w:t xml:space="preserve"> </w:t>
      </w:r>
      <w:r>
        <w:t xml:space="preserve">(20.0%)</w:t>
      </w:r>
      <w:r>
        <w:t xml:space="preserve"> </w:t>
      </w:r>
      <w:r>
        <w:t xml:space="preserve">pacientes diagnosticados com disfagia, mas que não apresentaram disfonia.</w:t>
      </w:r>
      <w:r>
        <w:t xml:space="preserve"> </w:t>
      </w:r>
      <w:r>
        <w:t xml:space="preserve">Os pacientes que apresentaram disfonia sem apresentar disfagia foram</w:t>
      </w:r>
      <w:r>
        <w:t xml:space="preserve"> </w:t>
      </w:r>
      <w:r>
        <w:t xml:space="preserve">5</w:t>
      </w:r>
      <w:r>
        <w:t xml:space="preserve"> </w:t>
      </w:r>
      <w:r>
        <w:t xml:space="preserve">(33.3%).</w:t>
      </w:r>
    </w:p>
    <w:p>
      <w:pPr>
        <w:pStyle w:val="Ttulo2"/>
      </w:pPr>
      <w:bookmarkStart w:id="29" w:name="disfagia"/>
      <w:bookmarkEnd w:id="29"/>
      <w:r>
        <w:t xml:space="preserve">Disfagia</w:t>
      </w:r>
    </w:p>
    <w:p>
      <w:pPr>
        <w:pStyle w:val="FirstParagraph"/>
      </w:pPr>
      <w:r>
        <w:t xml:space="preserve">Não observamos no exame pós-operatório tardio evidências de associação entre disfagia e</w:t>
      </w:r>
      <w:r>
        <w:t xml:space="preserve"> </w:t>
      </w:r>
      <w:r>
        <w:t xml:space="preserve">gênero (OR: 0.2; IC 95%: [0, 1.9]),</w:t>
      </w:r>
      <w:r>
        <w:t xml:space="preserve"> </w:t>
      </w:r>
      <w:r>
        <w:t xml:space="preserve">obesidade (OR: 0.7; IC 95%: [0, 10.1]),</w:t>
      </w:r>
      <w:r>
        <w:t xml:space="preserve"> </w:t>
      </w:r>
      <w:r>
        <w:t xml:space="preserve">presença de fraturas ou sequelas (OR: 0; IC 95%: [0, Inf]),</w:t>
      </w:r>
      <w:r>
        <w:t xml:space="preserve"> </w:t>
      </w:r>
      <w:r>
        <w:t xml:space="preserve">presença de mielopatia (OR: 3.6; IC 95%: [0.3, 64.1]),</w:t>
      </w:r>
      <w:r>
        <w:t xml:space="preserve"> </w:t>
      </w:r>
      <w:r>
        <w:t xml:space="preserve">o uso de placas (OR: 0; IC 95%: [0, Inf]),</w:t>
      </w:r>
      <w:r>
        <w:t xml:space="preserve"> </w:t>
      </w:r>
      <w:r>
        <w:t xml:space="preserve">presença de corpectomias (OR: Inf; IC 95%: [0.2, Inf])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4.7; IC 95%: [0.3, 313.3]),</w:t>
      </w:r>
      <w:r>
        <w:t xml:space="preserve"> </w:t>
      </w:r>
      <w:r>
        <w:t xml:space="preserve">pacientes submetidos a cirurgias longas (OR: 0.7; IC 95%: [0, 9.1]) ou</w:t>
      </w:r>
      <w:r>
        <w:t xml:space="preserve"> </w:t>
      </w:r>
      <w:r>
        <w:t xml:space="preserve">quantidade de níveis na cirurgia (OR: 0.8; IC 95%: [0.1, 9.9]).</w:t>
      </w:r>
    </w:p>
    <w:p>
      <w:pPr>
        <w:pStyle w:val="Ttulo2"/>
      </w:pPr>
      <w:bookmarkStart w:id="30" w:name="disfonia"/>
      <w:bookmarkEnd w:id="30"/>
      <w:r>
        <w:t xml:space="preserve">Disfonia</w:t>
      </w:r>
    </w:p>
    <w:p>
      <w:pPr>
        <w:pStyle w:val="FirstParagraph"/>
      </w:pPr>
      <w:r>
        <w:t xml:space="preserve">Não observamos no exame pós-operatório tardio evidências de associação entre disfonia e</w:t>
      </w:r>
      <w:r>
        <w:t xml:space="preserve"> </w:t>
      </w:r>
      <w:r>
        <w:t xml:space="preserve">gênero (OR: 1.5; IC 95%: [0.1, 25]),</w:t>
      </w:r>
      <w:r>
        <w:t xml:space="preserve"> </w:t>
      </w:r>
      <w:r>
        <w:t xml:space="preserve">obesidade (OR: 2.2; IC 95%: [0.1, 156.8]),</w:t>
      </w:r>
      <w:r>
        <w:t xml:space="preserve"> </w:t>
      </w:r>
      <w:r>
        <w:t xml:space="preserve">presença de fraturas ou sequelas (OR: 0; IC 95%: [0, Inf]),</w:t>
      </w:r>
      <w:r>
        <w:t xml:space="preserve"> </w:t>
      </w:r>
      <w:r>
        <w:t xml:space="preserve">presença de mielopatia (OR: 1; IC 95%: [0.1, 13.8]),</w:t>
      </w:r>
      <w:r>
        <w:t xml:space="preserve"> </w:t>
      </w:r>
      <w:r>
        <w:t xml:space="preserve">o uso de placas (OR: 0; IC 95%: [0, Inf]),</w:t>
      </w:r>
      <w:r>
        <w:t xml:space="preserve"> </w:t>
      </w:r>
      <w:r>
        <w:t xml:space="preserve">presença de corpectomias (OR: Inf; IC 95%: [0.1, Inf])</w:t>
      </w:r>
      <w:r>
        <w:t xml:space="preserve"> </w:t>
      </w:r>
      <w:r>
        <w:t xml:space="preserve">ou</w:t>
      </w:r>
      <w:r>
        <w:t xml:space="preserve"> </w:t>
      </w:r>
      <w:r>
        <w:t xml:space="preserve">se o procedimento foi executado na região alta da cervical (OR: 10.7; IC 95%: [0.6, 778.9]),</w:t>
      </w:r>
      <w:r>
        <w:t xml:space="preserve"> </w:t>
      </w:r>
      <w:r>
        <w:t xml:space="preserve">pacientes submetidos a cirurgias longas (OR: 5.2; IC 95%: [0.3, 111.6]) ou</w:t>
      </w:r>
      <w:r>
        <w:t xml:space="preserve"> </w:t>
      </w:r>
      <w:r>
        <w:t xml:space="preserve">quantidade de níveis na cirurgia (OR: 3.7; IC 95%: [0.2, 235.3]).</w:t>
      </w:r>
    </w:p>
    <w:p>
      <w:pPr>
        <w:pStyle w:val="Ttulo1"/>
      </w:pPr>
      <w:bookmarkStart w:id="31" w:name="conclusoes"/>
      <w:bookmarkEnd w:id="31"/>
      <w:r>
        <w:t xml:space="preserve">Conclusões</w:t>
      </w:r>
    </w:p>
    <w:p>
      <w:pPr>
        <w:pStyle w:val="Ttulo1"/>
      </w:pPr>
      <w:bookmarkStart w:id="32" w:name="referencias"/>
      <w:bookmarkEnd w:id="32"/>
      <w:r>
        <w:t xml:space="preserve">Referências</w:t>
      </w:r>
    </w:p>
    <w:p>
      <w:pPr>
        <w:pStyle w:val="Ttulo1"/>
      </w:pPr>
      <w:bookmarkStart w:id="33" w:name="apendice"/>
      <w:bookmarkEnd w:id="33"/>
      <w:r>
        <w:t xml:space="preserve">Apêndice</w:t>
      </w:r>
    </w:p>
    <w:sectPr>
      <w:headerReference w:type="default" r:id="rId8"/>
      <w:footerReference w:type="default" r:id="rId9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spacing w:beforeAutospacing="0" w:before="0" w:afterAutospacing="0" w:after="120"/>
      <w:rPr/>
    </w:pPr>
    <w:r>
      <w:rPr/>
      <mc:AlternateContent>
        <mc:Choice Requires="wps">
          <w:drawing>
            <wp:inline distT="0" distB="0" distL="0" distR="0">
              <wp:extent cx="5401310" cy="2032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72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425.2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573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350"/>
      <w:gridCol w:w="227"/>
      <w:gridCol w:w="3764"/>
      <w:gridCol w:w="236"/>
      <w:gridCol w:w="904"/>
      <w:gridCol w:w="236"/>
      <w:gridCol w:w="855"/>
    </w:tblGrid>
    <w:tr>
      <w:trPr>
        <w:trHeight w:val="624" w:hRule="exact"/>
        <w:cantSplit w:val="true"/>
      </w:trPr>
      <w:tc>
        <w:tcPr>
          <w:tcW w:w="3350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3764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>
            <w:rPr>
              <w:rFonts w:cs="Arial" w:ascii="Consolas" w:hAnsi="Consolas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904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Cabealho"/>
            <w:spacing w:beforeAutospacing="0" w:before="0" w:afterAutospacing="0" w:after="0"/>
            <w:jc w:val="center"/>
            <w:rPr/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</w:p>
      </w:tc>
      <w:tc>
        <w:tcPr>
          <w:tcW w:w="236" w:type="dxa"/>
          <w:tcBorders/>
          <w:shd w:fill="auto" w:val="clear"/>
          <w:vAlign w:val="center"/>
        </w:tcPr>
        <w:p>
          <w:pPr>
            <w:pStyle w:val="Cabealho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855" w:type="dxa"/>
          <w:tcBorders/>
          <w:shd w:fill="auto" w:val="clear"/>
          <w:vAlign w:val="center"/>
        </w:tcPr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  <w:p>
          <w:pPr>
            <w:pStyle w:val="Rodap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1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  <w:lang w:val="pt-BR"/>
            </w:rPr>
            <w:t>/</w:t>
          </w:r>
          <w:r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1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Corpodetexto"/>
      <w:spacing w:before="280" w:after="280"/>
      <w:rPr>
        <w:sz w:val="18"/>
        <w:szCs w:val="18"/>
      </w:rPr>
    </w:pPr>
    <w:r>
      <w:rPr>
        <w:sz w:val="18"/>
        <w:szCs w:val="18"/>
      </w:rPr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13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>
        <w:trHeight w:val="794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b/>
              <w:b/>
              <w:lang w:val="pt-BR"/>
            </w:rPr>
          </w:pPr>
          <w:r>
            <w:rPr>
              <w:b/>
              <w:lang w:val="pt-BR"/>
            </w:rPr>
            <w:t>Relatório de Análise de Dados</w:t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</w:r>
        </w:p>
        <w:p>
          <w:pPr>
            <w:pStyle w:val="Normal"/>
            <w:spacing w:beforeAutospacing="0" w:before="0" w:afterAutospacing="0" w:after="0"/>
            <w:jc w:val="center"/>
            <w:rPr>
              <w:lang w:val="pt-BR"/>
            </w:rPr>
          </w:pPr>
          <w:r>
            <w:rPr>
              <w:lang w:val="pt-BR"/>
            </w:rPr>
            <w:t>Consultoria de Bioestatística</w:t>
          </w:r>
        </w:p>
      </w:tc>
    </w:tr>
    <w:tr>
      <w:trPr>
        <w:trHeight w:val="170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>
              <w:sz w:val="18"/>
              <w:szCs w:val="18"/>
              <w:lang w:val="pt-BR"/>
            </w:rPr>
          </w:pPr>
          <w:r>
            <w:rPr>
              <w:sz w:val="18"/>
              <w:szCs w:val="18"/>
              <w:lang w:val="pt-BR"/>
            </w:rPr>
          </w:r>
        </w:p>
      </w:tc>
    </w:tr>
    <w:tr>
      <w:trPr>
        <w:trHeight w:val="227" w:hRule="exact"/>
      </w:trPr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Autospacing="0" w:before="0" w:afterAutospacing="0" w:after="0"/>
            <w:jc w:val="center"/>
            <w:rPr/>
          </w:pPr>
          <w:r>
            <w:rPr>
              <w:b/>
              <w:sz w:val="18"/>
              <w:szCs w:val="18"/>
              <w:lang w:val="pt-BR"/>
            </w:rPr>
            <w:t>https://github.com/philsf-biostat/analise_dados_FC_2018a</w:t>
          </w:r>
        </w:p>
      </w:tc>
    </w:tr>
  </w:tbl>
  <w:sdt>
    <w:sdtPr>
      <w:docPartObj>
        <w:docPartGallery w:val="Watermarks"/>
        <w:docPartUnique w:val="true"/>
      </w:docPartObj>
      <w:id w:val="623366324"/>
    </w:sdtPr>
    <w:sdtContent>
      <w:p>
        <w:pPr>
          <w:pStyle w:val="Normal"/>
          <w:spacing w:beforeAutospacing="0" w:before="120" w:afterAutospacing="0" w:after="120"/>
          <w:rPr/>
        </w:pPr>
        <w:r>
          <w:rPr/>
          <mc:AlternateContent>
            <mc:Choice Requires="wps">
              <w:drawing>
                <wp:inline distT="0" distB="0" distL="0" distR="0">
                  <wp:extent cx="5401310" cy="20320"/>
                  <wp:effectExtent l="0" t="0" r="0" b="0"/>
                  <wp:docPr id="1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00720" cy="1980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inline>
              </w:drawing>
            </mc:Choice>
            <mc:Fallback>
              <w:pict>
                <v:rect id="shape_0" fillcolor="#a0a0a0" stroked="f" style="position:absolute;margin-left:0pt;margin-top:-1.6pt;width:425.2pt;height:1.5pt;mso-position-vertical:top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34.8pt;margin-top:303.9pt;width:412.3pt;height:84.3pt;rotation:315;mso-position-horizontal:center;mso-position-vertical:center;mso-position-vertical-relative:margin" type="shapetype_136">
              <v:path textpathok="t"/>
              <v:textpath on="t" fitshape="t" string="RASCUNHO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54" w:hanging="454"/>
      </w:pPr>
    </w:lvl>
    <w:lvl w:ilvl="1">
      <w:start w:val="1"/>
      <w:pStyle w:val="Ttulo2"/>
      <w:numFmt w:val="decimal"/>
      <w:lvlText w:val="%1.%2."/>
      <w:lvlJc w:val="left"/>
      <w:pPr>
        <w:ind w:left="454" w:hanging="454"/>
      </w:pPr>
    </w:lvl>
    <w:lvl w:ilvl="2">
      <w:start w:val="1"/>
      <w:pStyle w:val="Ttulo3"/>
      <w:numFmt w:val="decimal"/>
      <w:lvlText w:val="%1.%2.%3."/>
      <w:lvlJc w:val="left"/>
      <w:pPr>
        <w:ind w:left="454" w:hanging="454"/>
      </w:pPr>
    </w:lvl>
    <w:lvl w:ilvl="3">
      <w:start w:val="1"/>
      <w:pStyle w:val="Ttulo4"/>
      <w:numFmt w:val="decimal"/>
      <w:lvlText w:val="%1.%2.%3.%4."/>
      <w:lvlJc w:val="left"/>
      <w:pPr>
        <w:ind w:left="454" w:hanging="454"/>
      </w:pPr>
    </w:lvl>
    <w:lvl w:ilvl="4">
      <w:start w:val="1"/>
      <w:pStyle w:val="Ttulo5"/>
      <w:numFmt w:val="decimal"/>
      <w:lvlText w:val="%1.%2.%3.%4.%5."/>
      <w:lvlJc w:val="left"/>
      <w:pPr>
        <w:ind w:left="454" w:hanging="454"/>
      </w:pPr>
    </w:lvl>
    <w:lvl w:ilvl="5">
      <w:start w:val="1"/>
      <w:pStyle w:val="Ttulo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decimal"/>
      <w:lvlText w:val="%1.%2.%3.%4.%5.%6.%7."/>
      <w:lvlJc w:val="left"/>
      <w:pPr>
        <w:ind w:left="454" w:hanging="454"/>
      </w:pPr>
    </w:lvl>
    <w:lvl w:ilvl="7">
      <w:start w:val="1"/>
      <w:numFmt w:val="decimal"/>
      <w:lvlText w:val="%1.%2.%3.%4.%5.%6.%7.%8."/>
      <w:lvlJc w:val="left"/>
      <w:pPr>
        <w:ind w:left="454" w:hanging="454"/>
      </w:pPr>
    </w:lvl>
    <w:lvl w:ilvl="8">
      <w:start w:val="1"/>
      <w:numFmt w:val="decimal"/>
      <w:lvlText w:val="%1.%2.%3.%4.%5.%6.%7.%8.%9."/>
      <w:lvlJc w:val="left"/>
      <w:pPr>
        <w:ind w:left="454" w:hanging="454"/>
      </w:pPr>
    </w:lvl>
  </w:abstractNum>
  <w:abstractNum w:abstractNumId="990">
    <w:nsid w:val="524cbe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Ttulo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Ncoradanotaderodap">
    <w:name w:val="Âncora da nota de rodapé"/>
    <w:rPr>
      <w:rFonts w:ascii="Arial" w:hAnsi="Arial"/>
      <w:sz w:val="20"/>
      <w:vertAlign w:val="superscript"/>
    </w:rPr>
  </w:style>
  <w:style w:type="character" w:styleId="FootnoteCharacters">
    <w:name w:val="Footnote Characters"/>
    <w:basedOn w:val="LegendaChar"/>
    <w:qFormat/>
    <w:rPr>
      <w:rFonts w:ascii="Arial" w:hAnsi="Arial"/>
      <w:sz w:val="20"/>
      <w:vertAlign w:val="superscript"/>
    </w:rPr>
  </w:style>
  <w:style w:type="character" w:styleId="LinkdaInternet">
    <w:name w:val="Link da Internet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qFormat/>
    <w:rsid w:val="002a48de"/>
    <w:pPr>
      <w:jc w:val="both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etexto"/>
    <w:qFormat/>
    <w:pPr/>
    <w:rPr/>
  </w:style>
  <w:style w:type="paragraph" w:styleId="Compact" w:customStyle="1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dodocumento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tulo">
    <w:name w:val="Subtitle"/>
    <w:basedOn w:val="Ttulododocumento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00000A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texto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"/>
    <w:qFormat/>
    <w:rsid w:val="0085289d"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Ttulo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abealho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LibreOffice/6.0.3.2$Linux_X86_64 LibreOffice_project/00m0$Build-2</Application>
  <Pages>1</Pages>
  <Words>85</Words>
  <Characters>524</Characters>
  <CharactersWithSpaces>568</CharactersWithSpaces>
  <Paragraphs>36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Prevalência de disfagia e disfonia no pós-operatório tardio de Artrodese Cervical Anterior</dc:title>
  <dc:creator>De: Felipe Figueiredo Para: Felipe Carrasco</dc:creator>
  <dcterms:created xsi:type="dcterms:W3CDTF">2018-08-03T05:13:28Z</dcterms:created>
  <dcterms:modified xsi:type="dcterms:W3CDTF">2018-08-03T05:13:28Z</dcterms:modified>
</cp:coreProperties>
</file>