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vaccine</w:t>
      </w:r>
      <w:r>
        <w:t xml:space="preserve"> </w:t>
      </w:r>
      <w:r>
        <w:t xml:space="preserve">potency</w:t>
      </w:r>
      <w:r>
        <w:t xml:space="preserve"> </w:t>
      </w:r>
      <w:r>
        <w:t xml:space="preserve">by</w:t>
      </w:r>
      <w:r>
        <w:t xml:space="preserve"> </w:t>
      </w:r>
      <w:r>
        <w:t xml:space="preserve">monoplex</w:t>
      </w:r>
      <w:r>
        <w:t xml:space="preserve"> </w:t>
      </w:r>
      <w:r>
        <w:t xml:space="preserve">and</w:t>
      </w:r>
      <w:r>
        <w:t xml:space="preserve"> </w:t>
      </w:r>
      <w:r>
        <w:t xml:space="preserve">biplex</w:t>
      </w:r>
      <w:r>
        <w:t xml:space="preserve"> </w:t>
      </w:r>
      <w:r>
        <w:t xml:space="preserve">qPRC</w:t>
      </w:r>
      <w:r>
        <w:t xml:space="preserve"> </w:t>
      </w:r>
      <w:r>
        <w:t xml:space="preserve">assay</w:t>
      </w:r>
    </w:p>
    <w:p>
      <w:pPr>
        <w:pStyle w:val="Subttulo"/>
      </w:pPr>
      <w:r>
        <w:t xml:space="preserve">RELATÓRIO:</w:t>
      </w:r>
      <w:r>
        <w:t xml:space="preserve"> </w:t>
      </w:r>
      <w:r>
        <w:t xml:space="preserve">analise_dados_JM_2018a-v01</w:t>
      </w:r>
    </w:p>
    <w:p>
      <w:pPr>
        <w:pStyle w:val="Author"/>
      </w:pPr>
      <w:r>
        <w:rPr>
          <w:b/>
        </w:rPr>
        <w:t xml:space="preserve">De:</w:t>
      </w:r>
      <w:r>
        <w:t xml:space="preserve"> </w:t>
      </w:r>
      <w:r>
        <w:t xml:space="preserve">Felipe</w:t>
      </w:r>
      <w:r>
        <w:t xml:space="preserve"> </w:t>
      </w:r>
      <w:r>
        <w:t xml:space="preserve">Figueiredo</w:t>
      </w:r>
      <w:r>
        <w:t xml:space="preserve"> </w:t>
      </w:r>
      <w:r>
        <w:rPr>
          <w:b/>
        </w:rPr>
        <w:t xml:space="preserve">Para:</w:t>
      </w:r>
      <w:r>
        <w:t xml:space="preserve"> </w:t>
      </w:r>
      <w:r>
        <w:t xml:space="preserve">Gisela</w:t>
      </w:r>
      <w:r>
        <w:t xml:space="preserve"> </w:t>
      </w:r>
      <w:r>
        <w:t xml:space="preserve">Trindade</w:t>
      </w:r>
    </w:p>
    <w:p>
      <w:pPr>
        <w:pStyle w:val="Data"/>
      </w:pPr>
      <w:r>
        <w:rPr>
          <w:b/>
        </w:rPr>
        <w:t xml:space="preserve">Data:</w:t>
      </w:r>
      <w:r>
        <w:rPr>
          <w:b/>
        </w:rPr>
        <w:t xml:space="preserve"> </w:t>
      </w:r>
      <w:r>
        <w:t xml:space="preserve"> </w:t>
      </w:r>
      <w:r>
        <w:t xml:space="preserve">dd/mm/aaaa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CabealhodoSumrio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Histórico do documento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Versão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Alterações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Versão inicial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Normal"/>
        <w:tblW w:type="pct" w:w="5000.0"/>
        <w:tblLook w:firstRow="1"/>
      </w:tblPr>
      <w:tblGrid>
        <w:gridCol w:w="1425"/>
        <w:gridCol w:w="1584"/>
        <w:gridCol w:w="1346"/>
        <w:gridCol w:w="2296"/>
        <w:gridCol w:w="12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Papel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Assinatura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Elaborador</w:t>
            </w:r>
          </w:p>
        </w:tc>
        <w:tc>
          <w:p>
            <w:pPr>
              <w:pStyle w:val="Compact"/>
              <w:jc w:val="center"/>
            </w:pPr>
            <w:r>
              <w:t xml:space="preserve">Felipe Figueiredo</w:t>
            </w:r>
          </w:p>
        </w:tc>
        <w:tc>
          <w:p>
            <w:pPr>
              <w:pStyle w:val="Compact"/>
              <w:jc w:val="center"/>
            </w:pPr>
            <w:r>
              <w:t xml:space="preserve">Bioestatístico</w:t>
            </w:r>
          </w:p>
        </w:tc>
        <w:tc>
          <w:p>
            <w:pPr>
              <w:pStyle w:val="Compact"/>
              <w:jc w:val="center"/>
            </w:pPr>
            <w:r>
              <w:t xml:space="preserve">__________________________</w:t>
            </w:r>
          </w:p>
        </w:tc>
        <w:tc>
          <w:p>
            <w:pPr>
              <w:pStyle w:val="Compact"/>
              <w:jc w:val="center"/>
            </w:pPr>
            <w:r>
              <w:t xml:space="preserve">_____________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Revisado por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__________________________</w:t>
            </w:r>
          </w:p>
        </w:tc>
        <w:tc>
          <w:p>
            <w:pPr>
              <w:pStyle w:val="Compact"/>
              <w:jc w:val="center"/>
            </w:pPr>
            <w:r>
              <w:t xml:space="preserve">_____________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Verificado por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__________________________</w:t>
            </w:r>
          </w:p>
        </w:tc>
        <w:tc>
          <w:p>
            <w:pPr>
              <w:pStyle w:val="Compact"/>
              <w:jc w:val="center"/>
            </w:pPr>
            <w:r>
              <w:t xml:space="preserve">_____________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Aprovação final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__________________________</w:t>
            </w:r>
          </w:p>
        </w:tc>
        <w:tc>
          <w:p>
            <w:pPr>
              <w:pStyle w:val="Compact"/>
              <w:jc w:val="center"/>
            </w:pPr>
            <w:r>
              <w:t xml:space="preserve">_____________</w:t>
            </w:r>
          </w:p>
        </w:tc>
      </w:tr>
    </w:tbl>
    <w:p>
      <w:pPr>
        <w:pStyle w:val="Ttulo1"/>
      </w:pPr>
      <w:bookmarkStart w:id="21" w:name="introduction"/>
      <w:bookmarkEnd w:id="21"/>
      <w:r>
        <w:t xml:space="preserve">Introduction</w:t>
      </w:r>
    </w:p>
    <w:p>
      <w:pPr>
        <w:pStyle w:val="Ttulo1"/>
      </w:pPr>
      <w:bookmarkStart w:id="22" w:name="methods"/>
      <w:bookmarkEnd w:id="22"/>
      <w:r>
        <w:t xml:space="preserve">Methods</w:t>
      </w:r>
    </w:p>
    <w:p>
      <w:pPr>
        <w:pStyle w:val="FirstParagraph"/>
      </w:pPr>
      <w:r>
        <w:rPr>
          <w:b/>
        </w:rPr>
        <w:t xml:space="preserve">Evaluation of monoplex and biplex assays</w:t>
      </w:r>
    </w:p>
    <w:p>
      <w:pPr>
        <w:pStyle w:val="Corpodetexto"/>
      </w:pPr>
      <w:r>
        <w:t xml:space="preserve">In an initial exploratory analysis, the inspection of the residuals in a classical ANOVA showed the assumption of normality was not strongly violated (no significant values were obtained from the Shapiro-Wilk test, results not shown).</w:t>
      </w:r>
      <w:r>
        <w:t xml:space="preserve"> </w:t>
      </w:r>
      <w:r>
        <w:t xml:space="preserve">The Levene test, however, indicated the assumption of homogeneity of variances was violated in most monoplex samples tested (p = 0.00002 for Measles, p = 0.25029 for Mumps and p = 0.00761 for Rubella).</w:t>
      </w:r>
      <w:r>
        <w:t xml:space="preserve"> </w:t>
      </w:r>
      <w:r>
        <w:t xml:space="preserve">We therefore opted to use the same procedure of the Welch correction in all analyses performed.</w:t>
      </w:r>
      <w:r>
        <w:t xml:space="preserve"> </w:t>
      </w:r>
      <w:r>
        <w:t xml:space="preserve">In the same manner, the Games-Howell post-hoc test was employed to correct for multiple comparisons in the presence of heteroskedasticity.</w:t>
      </w:r>
    </w:p>
    <w:p>
      <w:pPr>
        <w:pStyle w:val="Corpodetexto"/>
      </w:pPr>
      <w:r>
        <w:t xml:space="preserve">For the biplex samples, the Levene test did not show evidence of heterogeneity of variances for either Measles (p = 0.34015), Mumps (p = 0.10204) or Rubella (p = 0.13186).</w:t>
      </w:r>
      <w:r>
        <w:t xml:space="preserve"> </w:t>
      </w:r>
      <w:r>
        <w:t xml:space="preserve">For simplicity sake these experiments were analyzed with the same methodology as described above.</w:t>
      </w:r>
    </w:p>
    <w:p>
      <w:pPr>
        <w:pStyle w:val="Corpodetexto"/>
      </w:pPr>
      <w:r>
        <w:rPr>
          <w:b/>
        </w:rPr>
        <w:t xml:space="preserve">Performance comparison between monoplex and biplex assays</w:t>
      </w:r>
    </w:p>
    <w:p>
      <w:pPr>
        <w:pStyle w:val="Ttulo1"/>
      </w:pPr>
      <w:bookmarkStart w:id="23" w:name="results"/>
      <w:bookmarkEnd w:id="23"/>
      <w:r>
        <w:t xml:space="preserve">Results</w:t>
      </w:r>
    </w:p>
    <w:p>
      <w:pPr>
        <w:pStyle w:val="Ttulo2"/>
      </w:pPr>
      <w:bookmarkStart w:id="24" w:name="evaluation-of-monoplex-and-biplex-assays"/>
      <w:bookmarkEnd w:id="24"/>
      <w:r>
        <w:t xml:space="preserve">Evaluation of monoplex and biplex assays</w:t>
      </w:r>
    </w:p>
    <w:p>
      <w:pPr>
        <w:pStyle w:val="FirstParagraph"/>
      </w:pPr>
      <w:r>
        <w:t xml:space="preserve">As expected, a significant titer change was observed between the three formulations (bulk, final bulk and final batch), with the three vaccine virus strains.</w:t>
      </w:r>
      <w:r>
        <w:t xml:space="preserve"> </w:t>
      </w:r>
      <w:r>
        <w:t xml:space="preserve">This effect was observed when using both the Monoplex assay</w:t>
      </w:r>
      <w:r>
        <w:t xml:space="preserve"> </w:t>
      </w:r>
      <w:r>
        <w:t xml:space="preserve">and the Biplex assay</w:t>
      </w:r>
      <w:r>
        <w:t xml:space="preserve"> </w:t>
      </w:r>
      <w:r>
        <w:t xml:space="preserve">(table 6).</w:t>
      </w:r>
      <w:r>
        <w:t xml:space="preserve"> </w:t>
      </w:r>
      <w:r>
        <w:t xml:space="preserve">Pairwise post-tests confirm a major titer drop can be consistently detected from the initial bulk formulation the next processing stages in all scenarios evaluated, as described below.</w:t>
      </w:r>
      <w:r>
        <w:t xml:space="preserve"> </w:t>
      </w:r>
      <w:r>
        <w:t xml:space="preserve">Figure 2 shows the results for the Monoplex assay and Figure 3 shows the mixtures tested in the Biplex assay.</w:t>
      </w:r>
    </w:p>
    <w:p>
      <w:pPr>
        <w:pStyle w:val="TableCaption"/>
      </w:pPr>
      <w:r>
        <w:rPr>
          <w:b/>
        </w:rPr>
        <w:t xml:space="preserve">Table 6</w:t>
      </w:r>
      <w:r>
        <w:t xml:space="preserve"> </w:t>
      </w:r>
      <w:r>
        <w:t xml:space="preserve">Potency of vaccine presentations quantified by monoplex and multiplex qPCR</w:t>
      </w:r>
      <w:r>
        <w:t xml:space="preserve"> </w:t>
      </w:r>
      <w:r>
        <w:t xml:space="preserve">method.</w:t>
      </w:r>
      <w:r>
        <w:t xml:space="preserve"> </w:t>
      </w:r>
      <w:r>
        <w:t xml:space="preserve">The p-values presented correspond to Welch-ANOVA tests comparing different vaccine formulation stages, per Virus and qPCR mixture.</w:t>
      </w:r>
      <w:r>
        <w:t xml:space="preserve"> </w:t>
      </w:r>
      <w:r>
        <w:t xml:space="preserve">Monovalent Bulk indicated in both Mumps Biplex mixtures originate from the same experiment.</w:t>
      </w:r>
    </w:p>
    <w:tbl>
      <w:tblPr>
        <w:tblStyle w:val="TableNormal"/>
        <w:tblW w:type="pct" w:w="4999.999999999999"/>
        <w:tblLook w:firstRow="1"/>
        <w:tblCaption w:val="Table 6 Potency of vaccine presentations quantified by monoplex and multiplex qPCR method. The p-values presented correspond to Welch-ANOVA tests comparing different vaccine formulation stages, per Virus and qPCR mixture. Monovalent Bulk indicated in both Mumps Biplex mixtures originate from the same experiment."/>
      </w:tblPr>
      <w:tblGrid>
        <w:gridCol w:w="1218"/>
        <w:gridCol w:w="1142"/>
        <w:gridCol w:w="1370"/>
        <w:gridCol w:w="1599"/>
        <w:gridCol w:w="1675"/>
        <w:gridCol w:w="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qPCR Mixture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Virus Target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Monovalent Bulk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Final Vaccine Bulk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Final Vaccine Batch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Monoplex</w:t>
            </w:r>
          </w:p>
        </w:tc>
        <w:tc>
          <w:p>
            <w:pPr>
              <w:pStyle w:val="Compact"/>
              <w:jc w:val="center"/>
            </w:pPr>
            <w:r>
              <w:t xml:space="preserve">Measles</w:t>
            </w:r>
          </w:p>
        </w:tc>
        <w:tc>
          <w:p>
            <w:pPr>
              <w:pStyle w:val="Compact"/>
              <w:jc w:val="center"/>
            </w:pPr>
            <w:r>
              <w:t xml:space="preserve">8.81</w:t>
            </w:r>
          </w:p>
        </w:tc>
        <w:tc>
          <w:p>
            <w:pPr>
              <w:pStyle w:val="Compact"/>
              <w:jc w:val="center"/>
            </w:pPr>
            <w:r>
              <w:t xml:space="preserve">6.73</w:t>
            </w:r>
          </w:p>
        </w:tc>
        <w:tc>
          <w:p>
            <w:pPr>
              <w:pStyle w:val="Compact"/>
              <w:jc w:val="center"/>
            </w:pPr>
            <w:r>
              <w:t xml:space="preserve">6.97</w:t>
            </w:r>
          </w:p>
        </w:tc>
        <w:tc>
          <w:p>
            <w:pPr>
              <w:pStyle w:val="Compact"/>
              <w:jc w:val="center"/>
            </w:pPr>
            <w:r>
              <w:t xml:space="preserve">&lt; 0.00001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Monoplex</w:t>
            </w:r>
          </w:p>
        </w:tc>
        <w:tc>
          <w:p>
            <w:pPr>
              <w:pStyle w:val="Compact"/>
              <w:jc w:val="center"/>
            </w:pPr>
            <w:r>
              <w:t xml:space="preserve">Mumps</w:t>
            </w:r>
          </w:p>
        </w:tc>
        <w:tc>
          <w:p>
            <w:pPr>
              <w:pStyle w:val="Compact"/>
              <w:jc w:val="center"/>
            </w:pPr>
            <w:r>
              <w:t xml:space="preserve">9.24</w:t>
            </w:r>
          </w:p>
        </w:tc>
        <w:tc>
          <w:p>
            <w:pPr>
              <w:pStyle w:val="Compact"/>
              <w:jc w:val="center"/>
            </w:pPr>
            <w:r>
              <w:t xml:space="preserve">7.95</w:t>
            </w:r>
          </w:p>
        </w:tc>
        <w:tc>
          <w:p>
            <w:pPr>
              <w:pStyle w:val="Compact"/>
              <w:jc w:val="center"/>
            </w:pPr>
            <w:r>
              <w:t xml:space="preserve">7.75</w:t>
            </w:r>
          </w:p>
        </w:tc>
        <w:tc>
          <w:p>
            <w:pPr>
              <w:pStyle w:val="Compact"/>
              <w:jc w:val="center"/>
            </w:pPr>
            <w:r>
              <w:t xml:space="preserve">&lt; 0.00001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Monoplex</w:t>
            </w:r>
          </w:p>
        </w:tc>
        <w:tc>
          <w:p>
            <w:pPr>
              <w:pStyle w:val="Compact"/>
              <w:jc w:val="center"/>
            </w:pPr>
            <w:r>
              <w:t xml:space="preserve">Rubella</w:t>
            </w:r>
          </w:p>
        </w:tc>
        <w:tc>
          <w:p>
            <w:pPr>
              <w:pStyle w:val="Compact"/>
              <w:jc w:val="center"/>
            </w:pPr>
            <w:r>
              <w:t xml:space="preserve">5.38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4.36</w:t>
            </w:r>
          </w:p>
        </w:tc>
        <w:tc>
          <w:p>
            <w:pPr>
              <w:pStyle w:val="Compact"/>
              <w:jc w:val="center"/>
            </w:pPr>
            <w:r>
              <w:t xml:space="preserve">0.00003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Mumps+measles</w:t>
            </w:r>
          </w:p>
        </w:tc>
        <w:tc>
          <w:p>
            <w:pPr>
              <w:pStyle w:val="Compact"/>
              <w:jc w:val="center"/>
            </w:pPr>
            <w:r>
              <w:t xml:space="preserve">Measles</w:t>
            </w:r>
          </w:p>
        </w:tc>
        <w:tc>
          <w:p>
            <w:pPr>
              <w:pStyle w:val="Compact"/>
              <w:jc w:val="center"/>
            </w:pPr>
            <w:r>
              <w:t xml:space="preserve">8.37</w:t>
            </w:r>
          </w:p>
        </w:tc>
        <w:tc>
          <w:p>
            <w:pPr>
              <w:pStyle w:val="Compact"/>
              <w:jc w:val="center"/>
            </w:pPr>
            <w:r>
              <w:t xml:space="preserve">6.56</w:t>
            </w:r>
          </w:p>
        </w:tc>
        <w:tc>
          <w:p>
            <w:pPr>
              <w:pStyle w:val="Compact"/>
              <w:jc w:val="center"/>
            </w:pPr>
            <w:r>
              <w:t xml:space="preserve">6.75</w:t>
            </w:r>
          </w:p>
        </w:tc>
        <w:tc>
          <w:p>
            <w:pPr>
              <w:pStyle w:val="Compact"/>
              <w:jc w:val="center"/>
            </w:pPr>
            <w:r>
              <w:t xml:space="preserve">0.00036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Mumps+measles</w:t>
            </w:r>
          </w:p>
        </w:tc>
        <w:tc>
          <w:p>
            <w:pPr>
              <w:pStyle w:val="Compact"/>
              <w:jc w:val="center"/>
            </w:pPr>
            <w:r>
              <w:t xml:space="preserve">Mumps</w:t>
            </w:r>
          </w:p>
        </w:tc>
        <w:tc>
          <w:p>
            <w:pPr>
              <w:pStyle w:val="Compact"/>
              <w:jc w:val="center"/>
            </w:pPr>
            <w:r>
              <w:t xml:space="preserve">9.12</w:t>
            </w:r>
          </w:p>
        </w:tc>
        <w:tc>
          <w:p>
            <w:pPr>
              <w:pStyle w:val="Compact"/>
              <w:jc w:val="center"/>
            </w:pPr>
            <w:r>
              <w:t xml:space="preserve">8.06</w:t>
            </w:r>
          </w:p>
        </w:tc>
        <w:tc>
          <w:p>
            <w:pPr>
              <w:pStyle w:val="Compact"/>
              <w:jc w:val="center"/>
            </w:pPr>
            <w:r>
              <w:t xml:space="preserve">7.93</w:t>
            </w:r>
          </w:p>
        </w:tc>
        <w:tc>
          <w:p>
            <w:pPr>
              <w:pStyle w:val="Compact"/>
              <w:jc w:val="center"/>
            </w:pPr>
            <w:r>
              <w:t xml:space="preserve">0.00057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Mumps+rubella</w:t>
            </w:r>
          </w:p>
        </w:tc>
        <w:tc>
          <w:p>
            <w:pPr>
              <w:pStyle w:val="Compact"/>
              <w:jc w:val="center"/>
            </w:pPr>
            <w:r>
              <w:t xml:space="preserve">Mumps</w:t>
            </w:r>
          </w:p>
        </w:tc>
        <w:tc>
          <w:p>
            <w:pPr>
              <w:pStyle w:val="Compact"/>
              <w:jc w:val="center"/>
            </w:pPr>
            <w:r>
              <w:t xml:space="preserve">9.12</w:t>
            </w:r>
          </w:p>
        </w:tc>
        <w:tc>
          <w:p>
            <w:pPr>
              <w:pStyle w:val="Compact"/>
              <w:jc w:val="center"/>
            </w:pPr>
            <w:r>
              <w:t xml:space="preserve">7.86</w:t>
            </w:r>
          </w:p>
        </w:tc>
        <w:tc>
          <w:p>
            <w:pPr>
              <w:pStyle w:val="Compact"/>
              <w:jc w:val="center"/>
            </w:pPr>
            <w:r>
              <w:t xml:space="preserve">7.62</w:t>
            </w:r>
          </w:p>
        </w:tc>
        <w:tc>
          <w:p>
            <w:pPr>
              <w:pStyle w:val="Compact"/>
              <w:jc w:val="center"/>
            </w:pPr>
            <w:r>
              <w:t xml:space="preserve">0.00007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Mumps+rubella</w:t>
            </w:r>
          </w:p>
        </w:tc>
        <w:tc>
          <w:p>
            <w:pPr>
              <w:pStyle w:val="Compact"/>
              <w:jc w:val="center"/>
            </w:pPr>
            <w:r>
              <w:t xml:space="preserve">Rubella</w:t>
            </w:r>
          </w:p>
        </w:tc>
        <w:tc>
          <w:p>
            <w:pPr>
              <w:pStyle w:val="Compact"/>
              <w:jc w:val="center"/>
            </w:pPr>
            <w:r>
              <w:t xml:space="preserve">6.06</w:t>
            </w:r>
          </w:p>
        </w:tc>
        <w:tc>
          <w:p>
            <w:pPr>
              <w:pStyle w:val="Compact"/>
              <w:jc w:val="center"/>
            </w:pPr>
            <w:r>
              <w:t xml:space="preserve">4.58</w:t>
            </w:r>
          </w:p>
        </w:tc>
        <w:tc>
          <w:p>
            <w:pPr>
              <w:pStyle w:val="Compact"/>
              <w:jc w:val="center"/>
            </w:pPr>
            <w:r>
              <w:t xml:space="preserve">4.71</w:t>
            </w:r>
          </w:p>
        </w:tc>
        <w:tc>
          <w:p>
            <w:pPr>
              <w:pStyle w:val="Compact"/>
              <w:jc w:val="center"/>
            </w:pPr>
            <w:r>
              <w:t xml:space="preserve">0.00097</w:t>
            </w:r>
          </w:p>
        </w:tc>
      </w:tr>
    </w:tbl>
    <w:p>
      <w:pPr>
        <w:pStyle w:val="Corpodetexto"/>
      </w:pPr>
      <w:r>
        <w:rPr>
          <w:b/>
        </w:rPr>
        <w:t xml:space="preserve">Measles</w:t>
      </w:r>
    </w:p>
    <w:p>
      <w:pPr>
        <w:pStyle w:val="Corpodetexto"/>
      </w:pPr>
      <w:r>
        <w:t xml:space="preserve">The Measles sample had significant titer drops from the bulk to both final bulk and final batch formulations</w:t>
      </w:r>
      <w:r>
        <w:t xml:space="preserve"> </w:t>
      </w:r>
      <w:r>
        <w:t xml:space="preserve">in the monoplex assay</w:t>
      </w:r>
      <w:r>
        <w:t xml:space="preserve"> </w:t>
      </w:r>
      <w:r>
        <w:t xml:space="preserve">(Games-Howell test, p &lt; 0.00001 and p &lt; 0.00001, respectively),</w:t>
      </w:r>
      <w:r>
        <w:t xml:space="preserve"> </w:t>
      </w:r>
      <w:r>
        <w:t xml:space="preserve">and in the biplex assay</w:t>
      </w:r>
      <w:r>
        <w:t xml:space="preserve"> </w:t>
      </w:r>
      <w:r>
        <w:t xml:space="preserve">(Games-Howell test, p = 0.00011 and p = 0.00131, respectively).</w:t>
      </w:r>
      <w:r>
        <w:t xml:space="preserve"> </w:t>
      </w:r>
      <w:r>
        <w:t xml:space="preserve">When testing for differences between the final bulk and final batch, we found no significant difference in titers in either the</w:t>
      </w:r>
      <w:r>
        <w:t xml:space="preserve"> </w:t>
      </w:r>
      <w:r>
        <w:t xml:space="preserve">monoplex (Games-Howell test, p = 0.09923) or the</w:t>
      </w:r>
      <w:r>
        <w:t xml:space="preserve"> </w:t>
      </w:r>
      <w:r>
        <w:t xml:space="preserve">biplex assay (Games-Howell test, p = 0.12683).</w:t>
      </w:r>
    </w:p>
    <w:p>
      <w:pPr>
        <w:pStyle w:val="Corpodetexto"/>
      </w:pPr>
      <w:r>
        <w:rPr>
          <w:b/>
        </w:rPr>
        <w:t xml:space="preserve">Mumps</w:t>
      </w:r>
    </w:p>
    <w:p>
      <w:pPr>
        <w:pStyle w:val="Corpodetexto"/>
      </w:pPr>
      <w:r>
        <w:t xml:space="preserve">The Mumps virus Monoplex assay had significant titer drops from the bulk to both final bulk and final batch formulations</w:t>
      </w:r>
      <w:r>
        <w:t xml:space="preserve"> </w:t>
      </w:r>
      <w:r>
        <w:t xml:space="preserve">(Games-Howell test, p &lt; 0.00001 and p &lt; 0.00001, respectively).</w:t>
      </w:r>
      <w:r>
        <w:t xml:space="preserve"> </w:t>
      </w:r>
      <w:r>
        <w:t xml:space="preserve">In both Mumps Biplex mixtures tested, there were significant drops in viral titer from the bulk to other formulations</w:t>
      </w:r>
      <w:r>
        <w:t xml:space="preserve"> </w:t>
      </w:r>
      <w:r>
        <w:t xml:space="preserve">(Games-Howell test, p = 0.00067 and p = 0.00468 for Measles mixture,</w:t>
      </w:r>
      <w:r>
        <w:t xml:space="preserve"> </w:t>
      </w:r>
      <w:r>
        <w:t xml:space="preserve">and p = 0.00025 and p = 0.00006 for Rubella mixture).</w:t>
      </w:r>
      <w:r>
        <w:t xml:space="preserve"> </w:t>
      </w:r>
      <w:r>
        <w:t xml:space="preserve">These two biplex mixtures were compared to a single Monovalent Bulk experiment (table 6 and figure 3).</w:t>
      </w:r>
    </w:p>
    <w:p>
      <w:pPr>
        <w:pStyle w:val="Corpodetexto"/>
      </w:pPr>
      <w:r>
        <w:t xml:space="preserve">There was an average decrease of</w:t>
      </w:r>
      <w:r>
        <w:t xml:space="preserve"> </w:t>
      </w:r>
      <w:r>
        <w:t xml:space="preserve">0.1945</w:t>
      </w:r>
      <w:r>
        <w:t xml:space="preserve"> </w:t>
      </w:r>
      <w:r>
        <w:t xml:space="preserve">log10 Copies/PCR in the final batch preparation when compared to the final bulk</w:t>
      </w:r>
      <w:r>
        <w:t xml:space="preserve"> </w:t>
      </w:r>
      <w:r>
        <w:t xml:space="preserve">(Games-Howell test, p = 0.02198).</w:t>
      </w:r>
      <w:r>
        <w:t xml:space="preserve"> </w:t>
      </w:r>
      <w:r>
        <w:t xml:space="preserve">Such difference in titer was not observed in the Biplex assay for either</w:t>
      </w:r>
      <w:r>
        <w:t xml:space="preserve"> </w:t>
      </w:r>
      <w:r>
        <w:t xml:space="preserve">Measles mixture (Games-Howell test, p = 0.58129)</w:t>
      </w:r>
      <w:r>
        <w:t xml:space="preserve"> </w:t>
      </w:r>
      <w:r>
        <w:t xml:space="preserve">or the for</w:t>
      </w:r>
      <w:r>
        <w:t xml:space="preserve"> </w:t>
      </w:r>
      <w:r>
        <w:t xml:space="preserve">Rubella mixture (Games-Howell test, p = 0.01966).</w:t>
      </w:r>
    </w:p>
    <w:p>
      <w:pPr>
        <w:pStyle w:val="Corpodetexto"/>
      </w:pPr>
      <w:r>
        <w:rPr>
          <w:b/>
        </w:rPr>
        <w:t xml:space="preserve">Rubella</w:t>
      </w:r>
    </w:p>
    <w:p>
      <w:pPr>
        <w:pStyle w:val="Corpodetexto"/>
      </w:pPr>
      <w:r>
        <w:t xml:space="preserve">The Rubella sample had significant titer drops from the bulk to both final bulk and final batch formulations</w:t>
      </w:r>
      <w:r>
        <w:t xml:space="preserve"> </w:t>
      </w:r>
      <w:r>
        <w:t xml:space="preserve">in the Monoplex assay</w:t>
      </w:r>
      <w:r>
        <w:t xml:space="preserve"> </w:t>
      </w:r>
      <w:r>
        <w:t xml:space="preserve">(Games-Howell test, p = &lt; 0.00001 and p = 0.00017, respectively),</w:t>
      </w:r>
      <w:r>
        <w:t xml:space="preserve"> </w:t>
      </w:r>
      <w:r>
        <w:t xml:space="preserve">and in the Biplex assay</w:t>
      </w:r>
      <w:r>
        <w:t xml:space="preserve"> </w:t>
      </w:r>
      <w:r>
        <w:t xml:space="preserve">(Games-Howell test, p = 0.00099 and p = 0.00361, respectively).</w:t>
      </w:r>
      <w:r>
        <w:t xml:space="preserve"> </w:t>
      </w:r>
      <w:r>
        <w:t xml:space="preserve">When comparing the two tested vaccine groups (final bulk and final batch), there was no significant difference in either</w:t>
      </w:r>
      <w:r>
        <w:t xml:space="preserve"> </w:t>
      </w:r>
      <w:r>
        <w:t xml:space="preserve">the monoplex assay, nor in the biplex mixture with Mumps virus</w:t>
      </w:r>
      <w:r>
        <w:t xml:space="preserve"> </w:t>
      </w:r>
      <w:r>
        <w:t xml:space="preserve">(Games-Howell test, p = 0.06272 and p = 0.25792, respectively).</w:t>
      </w:r>
    </w:p>
    <w:p>
      <w:pPr>
        <w:pStyle w:val="FigureWithCaption"/>
      </w:pPr>
      <w:r>
        <w:drawing>
          <wp:inline>
            <wp:extent cx="6422207" cy="6422207"/>
            <wp:effectExtent b="0" l="0" r="0" t="0"/>
            <wp:docPr descr="Figure 2: Viral titers observed in monoplex qPCR in the different vaccine formulations." title="" id="1" name="Picture"/>
            <a:graphic>
              <a:graphicData uri="http://schemas.openxmlformats.org/drawingml/2006/picture">
                <pic:pic>
                  <pic:nvPicPr>
                    <pic:cNvPr descr="../figures/mono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207" cy="642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2</w:t>
      </w:r>
      <w:r>
        <w:t xml:space="preserve">: Viral titers observed in monoplex qPCR in the different vaccine formulations.</w:t>
      </w:r>
    </w:p>
    <w:p>
      <w:pPr>
        <w:pStyle w:val="FigureWithCaption"/>
      </w:pPr>
      <w:r>
        <w:drawing>
          <wp:inline>
            <wp:extent cx="6422207" cy="6422207"/>
            <wp:effectExtent b="0" l="0" r="0" t="0"/>
            <wp:docPr descr="Figure 3: Viral titers observed in biplex qPCR mixtures in the different vaccine formulations." title="" id="1" name="Picture"/>
            <a:graphic>
              <a:graphicData uri="http://schemas.openxmlformats.org/drawingml/2006/picture">
                <pic:pic>
                  <pic:nvPicPr>
                    <pic:cNvPr descr="../figures/bi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207" cy="642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3</w:t>
      </w:r>
      <w:r>
        <w:t xml:space="preserve">: Viral titers observed in biplex qPCR mixtures in the different vaccine formulations.</w:t>
      </w:r>
    </w:p>
    <w:p>
      <w:pPr>
        <w:pStyle w:val="Ttulo2"/>
      </w:pPr>
      <w:bookmarkStart w:id="27" w:name="performance-comparison-between-monoplex-and-biplex-assays"/>
      <w:bookmarkEnd w:id="27"/>
      <w:r>
        <w:t xml:space="preserve">Performance comparison between monoplex and biplex assays</w:t>
      </w:r>
    </w:p>
    <w:p>
      <w:pPr>
        <w:pStyle w:val="Ttulo1"/>
      </w:pPr>
      <w:bookmarkStart w:id="28" w:name="conclusions"/>
      <w:bookmarkEnd w:id="28"/>
      <w:r>
        <w:t xml:space="preserve">Conclusions</w:t>
      </w:r>
    </w:p>
    <w:p>
      <w:pPr>
        <w:pStyle w:val="Ttulo1"/>
      </w:pPr>
      <w:bookmarkStart w:id="29" w:name="references"/>
      <w:bookmarkEnd w:id="29"/>
      <w:r>
        <w:t xml:space="preserve">References</w:t>
      </w:r>
    </w:p>
    <w:sectPr w:rsidR="004F714F" w:rsidRPr="004F714F" w:rsidSect="004E6BD2">
      <w:headerReference w:type="even" r:id="rId8"/>
      <w:headerReference w:type="default" r:id="rId10"/>
      <w:footerReference w:type="even" r:id="rId13"/>
      <w:footerReference w:type="default" r:id="rId12"/>
      <w:headerReference w:type="first" r:id="rId9"/>
      <w:footerReference w:type="first" r:id="rId11"/>
      <w:pgSz w:w="11906" w:h="16838"/>
      <w:pgMar w:top="1418" w:right="709" w:bottom="127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1359C9" w:rsidP="00CC032A">
    <w:pPr>
      <w:spacing w:beforeAutospacing="0" w:after="0" w:afterAutospacing="0" w:line="240" w:lineRule="auto"/>
      <w:jc w:val="center"/>
    </w:pPr>
    <w:r>
      <w:pict>
        <v:rect id="_x0000_i1026" style="width:531.5pt;height:1.5pt" o:hralign="center" o:hrstd="t" o:hr="t" fillcolor="#a0a0a0" stroked="f"/>
      </w:pic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20"/>
      <w:gridCol w:w="252"/>
      <w:gridCol w:w="4178"/>
      <w:gridCol w:w="262"/>
      <w:gridCol w:w="1005"/>
      <w:gridCol w:w="262"/>
      <w:gridCol w:w="951"/>
    </w:tblGrid>
    <w:tr w:rsidR="006A5ADA" w:rsidTr="00AE7C0C">
      <w:trPr>
        <w:cantSplit/>
        <w:trHeight w:hRule="exact" w:val="850"/>
        <w:jc w:val="center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27" w:type="dxa"/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63" w:type="dxa"/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CC032A" w:rsidRDefault="00CC032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</w:p>
        <w:p w:rsidR="006A5ADA" w:rsidRDefault="00124B3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2018</w:t>
          </w:r>
          <w:bookmarkStart w:id="3" w:name="_GoBack"/>
          <w:bookmarkEnd w:id="3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124B3A">
            <w:rPr>
              <w:rFonts w:cs="Arial"/>
              <w:b/>
              <w:noProof/>
              <w:sz w:val="18"/>
              <w:szCs w:val="18"/>
            </w:rPr>
            <w:t>1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NUMPAGES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124B3A">
            <w:rPr>
              <w:rFonts w:cs="Arial"/>
              <w:b/>
              <w:noProof/>
              <w:sz w:val="18"/>
              <w:szCs w:val="18"/>
            </w:rPr>
            <w:t>3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6A5ADA" w:rsidRDefault="006A5ADA" w:rsidP="00CC032A">
    <w:pPr>
      <w:pStyle w:val="Rodap"/>
      <w:spacing w:beforeAutospacing="0" w:afterAutospacing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0"/>
    </w:tblGrid>
    <w:tr w:rsidR="006A5ADA" w:rsidTr="006A5ADA">
      <w:trPr>
        <w:trHeight w:val="794"/>
      </w:trPr>
      <w:tc>
        <w:tcPr>
          <w:tcW w:w="9070" w:type="dxa"/>
          <w:vAlign w:val="center"/>
        </w:tcPr>
        <w:p w:rsidR="006A5ADA" w:rsidRDefault="006A5ADA" w:rsidP="00CC032A">
          <w:pPr>
            <w:spacing w:beforeAutospacing="0" w:afterAutospacing="0"/>
            <w:jc w:val="center"/>
            <w:rPr>
              <w:b/>
            </w:rPr>
          </w:pPr>
          <w:r>
            <w:rPr>
              <w:b/>
            </w:rPr>
            <w:t>Relatório de Análise de Dados</w:t>
          </w:r>
        </w:p>
        <w:p w:rsidR="006A5ADA" w:rsidRDefault="006A5ADA" w:rsidP="00CC032A">
          <w:pPr>
            <w:spacing w:beforeAutospacing="0" w:afterAutospacing="0"/>
            <w:jc w:val="center"/>
          </w:pPr>
          <w:r>
            <w:t>Consultoria de Bioestatística</w:t>
          </w:r>
        </w:p>
      </w:tc>
    </w:tr>
    <w:tr w:rsidR="006A5ADA" w:rsidTr="006A5ADA">
      <w:trPr>
        <w:trHeight w:val="170"/>
      </w:trPr>
      <w:tc>
        <w:tcPr>
          <w:tcW w:w="9070" w:type="dxa"/>
          <w:vAlign w:val="center"/>
        </w:tcPr>
        <w:p w:rsidR="006A5ADA" w:rsidRDefault="006A5ADA" w:rsidP="00CC032A">
          <w:pPr>
            <w:spacing w:beforeAutospacing="0" w:afterAutospacing="0"/>
            <w:jc w:val="center"/>
            <w:rPr>
              <w:noProof/>
              <w:sz w:val="18"/>
              <w:szCs w:val="18"/>
            </w:rPr>
          </w:pPr>
        </w:p>
      </w:tc>
    </w:tr>
    <w:tr w:rsidR="006A5ADA" w:rsidTr="006A5ADA">
      <w:trPr>
        <w:trHeight w:val="227"/>
      </w:trPr>
      <w:tc>
        <w:tcPr>
          <w:tcW w:w="9070" w:type="dxa"/>
          <w:vAlign w:val="center"/>
          <w:hideMark/>
        </w:tcPr>
        <w:p w:rsidR="006A5ADA" w:rsidRDefault="006A5ADA" w:rsidP="00124B3A">
          <w:pPr>
            <w:spacing w:beforeAutospacing="0" w:afterAutospacing="0"/>
            <w:jc w:val="center"/>
            <w:rPr>
              <w:b/>
              <w:noProof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t>https://github.com/philsf-biostat/analise_dados_</w:t>
          </w:r>
          <w:r w:rsidR="00124B3A">
            <w:rPr>
              <w:b/>
              <w:noProof/>
              <w:sz w:val="18"/>
              <w:szCs w:val="18"/>
            </w:rPr>
            <w:t>JM_2018</w:t>
          </w:r>
          <w:r>
            <w:rPr>
              <w:b/>
              <w:noProof/>
              <w:sz w:val="18"/>
              <w:szCs w:val="18"/>
            </w:rPr>
            <w:t>a</w:t>
          </w:r>
        </w:p>
      </w:tc>
    </w:tr>
  </w:tbl>
  <w:p w:rsidR="006A5ADA" w:rsidRDefault="001359C9" w:rsidP="00CC032A">
    <w:pPr>
      <w:spacing w:beforeAutospacing="0" w:after="0" w:afterAutospacing="0" w:line="240" w:lineRule="auto"/>
      <w:jc w:val="center"/>
    </w:pPr>
    <w:sdt>
      <w:sdtPr>
        <w:id w:val="-120632860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2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531.5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68C"/>
    <w:multiLevelType w:val="hybridMultilevel"/>
    <w:tmpl w:val="229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D04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90">
    <w:nsid w:val="dd7ace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269"/>
    <w:pPr>
      <w:spacing w:beforeAutospacing="1" w:afterAutospacing="1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TabeladeGradeClara">
    <w:name w:val="Grid Table Light"/>
    <w:basedOn w:val="Tabelanormal"/>
    <w:uiPriority w:val="40"/>
    <w:rsid w:val="003C1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0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  <w:style w:type="paragraph" w:styleId="Ttulo">
    <w:name w:val="Title"/>
    <w:basedOn w:val="Normal"/>
    <w:next w:val="Normal"/>
    <w:link w:val="TtuloChar"/>
    <w:qFormat/>
    <w:rsid w:val="00BE194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rsid w:val="00BE194B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4" w:lineRule="auto"/>
      <w:jc w:val="center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rsid w:val="00BE194B"/>
    <w:rPr>
      <w:rFonts w:ascii="Arial" w:eastAsiaTheme="minorEastAsia" w:hAnsi="Arial"/>
      <w:b/>
      <w:spacing w:val="15"/>
      <w:sz w:val="20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4" w:lineRule="auto"/>
      <w:jc w:val="center"/>
    </w:pPr>
  </w:style>
  <w:style w:type="character" w:customStyle="1" w:styleId="DataChar">
    <w:name w:val="Data Char"/>
    <w:basedOn w:val="Fontepargpadro"/>
    <w:link w:val="Data"/>
    <w:rsid w:val="00BE194B"/>
    <w:rPr>
      <w:rFonts w:ascii="Arial" w:hAnsi="Arial"/>
      <w:sz w:val="20"/>
    </w:rPr>
  </w:style>
  <w:style w:type="paragraph" w:customStyle="1" w:styleId="Author">
    <w:name w:val="Author"/>
    <w:next w:val="Corpodetexto"/>
    <w:qFormat/>
    <w:rsid w:val="00BE194B"/>
    <w:pPr>
      <w:keepNext/>
      <w:keepLines/>
      <w:spacing w:line="254" w:lineRule="auto"/>
      <w:jc w:val="center"/>
    </w:pPr>
    <w:rPr>
      <w:rFonts w:ascii="Arial" w:hAnsi="Arial"/>
      <w:sz w:val="20"/>
      <w:szCs w:val="24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E194B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7F4269"/>
    <w:pPr>
      <w:spacing w:line="254" w:lineRule="auto"/>
      <w:ind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footer" Target="foot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vaccine potency by monoplex and biplex qPRC assay</dc:title>
  <dc:creator>De: Felipe Figueiredo Para: Gisela Trindade</dc:creator>
  <dcterms:created xsi:type="dcterms:W3CDTF">2019-01-22T00:39:12Z</dcterms:created>
  <dcterms:modified xsi:type="dcterms:W3CDTF">2019-01-22T00:39:12Z</dcterms:modified>
</cp:coreProperties>
</file>