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val="01e0" w:noVBand="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spacing w:before="28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305" cy="20955"/>
              <wp:effectExtent l="0" t="0" r="0" b="0"/>
              <wp:docPr id="2" name=""/>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5pt;width:482.05pt;height:1.55pt;mso-position-vertical:top" wp14:anchorId="3A025318">
              <w10:wrap type="none"/>
              <v:fill o:detectmouseclick="t" type="solid" color2="#5f5f5f"/>
              <v:stroke color="#3465a4" joinstyle="round" endcap="flat"/>
            </v:rect>
          </w:pict>
        </mc:Fallback>
      </mc:AlternateContent>
    </w:r>
  </w:p>
  <w:tbl>
    <w:tblPr>
      <w:tblW w:w="9638" w:type="dxa"/>
      <w:jc w:val="center"/>
      <w:tblInd w:w="0" w:type="dxa"/>
      <w:tblCellMar>
        <w:top w:w="0" w:type="dxa"/>
        <w:left w:w="108" w:type="dxa"/>
        <w:bottom w:w="0" w:type="dxa"/>
        <w:right w:w="108" w:type="dxa"/>
      </w:tblCellMar>
      <w:tblLook w:val="04a0" w:noVBand="1" w:firstColumn="1" w:lastColumn="0" w:noHBand="0" w:lastRow="0" w:firstRow="1"/>
    </w:tblPr>
    <w:tblGrid>
      <w:gridCol w:w="3685"/>
      <w:gridCol w:w="170"/>
      <w:gridCol w:w="3798"/>
      <w:gridCol w:w="171"/>
      <w:gridCol w:w="794"/>
      <w:gridCol w:w="169"/>
      <w:gridCol w:w="850"/>
    </w:tblGrid>
    <w:tr>
      <w:trPr>
        <w:trHeight w:val="850" w:hRule="exact"/>
        <w:cantSplit w:val="true"/>
      </w:trPr>
      <w:tc>
        <w:tcPr>
          <w:tcW w:w="3685" w:type="dxa"/>
          <w:tcBorders/>
          <w:shd w:fill="auto" w:val="clear"/>
          <w:vAlign w:val="center"/>
        </w:tcPr>
        <w:p>
          <w:pPr>
            <w:pStyle w:val="Rodap"/>
            <w:spacing w:lineRule="auto" w:line="240" w:beforeAutospacing="0" w:before="0" w:afterAutospacing="0" w:after="0"/>
            <w:ind w:left="0" w:right="0" w:hanging="0"/>
            <w:jc w:val="center"/>
            <w:rPr/>
          </w:pPr>
          <w:r>
            <w:rPr>
              <w:rFonts w:cs="Arial"/>
              <w:b/>
              <w:bCs/>
              <w:sz w:val="18"/>
              <w:szCs w:val="18"/>
            </w:rPr>
            <w:t>Felipe Figueiredo</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pPr>
          <w:r>
            <w:rPr>
              <w:rFonts w:cs="Arial"/>
              <w:b/>
              <w:bCs/>
              <w:sz w:val="18"/>
              <w:szCs w:val="18"/>
            </w:rPr>
            <w:t>Consultoria de Bioestatística</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1"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spacing w:lineRule="auto" w:line="240" w:beforeAutospacing="0" w:before="0" w:afterAutospacing="0" w:after="0"/>
            <w:ind w:left="0" w:right="0" w:hanging="0"/>
            <w:jc w:val="center"/>
            <w:rPr/>
          </w:pPr>
          <w:r>
            <w:rPr>
              <w:rFonts w:cs="Arial"/>
              <w:b/>
              <w:bCs/>
              <w:sz w:val="18"/>
              <w:szCs w:val="18"/>
            </w:rPr>
            <w:t>Ano</w:t>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2019</w:t>
          </w:r>
        </w:p>
      </w:tc>
      <w:tc>
        <w:tcPr>
          <w:tcW w:w="169"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spacing w:lineRule="auto" w:line="240" w:beforeAutospacing="0" w:before="0" w:afterAutospacing="0" w:after="0"/>
            <w:ind w:left="0" w:right="0" w:hanging="0"/>
            <w:jc w:val="center"/>
            <w:rPr/>
          </w:pPr>
          <w:r>
            <w:rPr>
              <w:rFonts w:cs="Arial"/>
              <w:b/>
              <w:bCs/>
              <w:sz w:val="18"/>
              <w:szCs w:val="18"/>
            </w:rPr>
            <w:t>Página</w:t>
          </w:r>
        </w:p>
        <w:p>
          <w:pPr>
            <w:pStyle w:val="Rodap"/>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CellMar>
        <w:top w:w="0" w:type="dxa"/>
        <w:left w:w="108" w:type="dxa"/>
        <w:bottom w:w="0" w:type="dxa"/>
        <w:right w:w="108" w:type="dxa"/>
      </w:tblCellMar>
      <w:tblLook w:val="04a0" w:noVBand="1" w:noHBand="0" w:lastColumn="0" w:firstColumn="1" w:lastRow="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spacing w:lineRule="auto" w:line="240" w:beforeAutospacing="0" w:before="0" w:afterAutospacing="0" w:after="0"/>
            <w:ind w:left="0" w:right="0" w:hanging="0"/>
            <w:jc w:val="center"/>
            <w:rPr/>
          </w:pPr>
          <w:r>
            <w:rPr>
              <w:b/>
            </w:rPr>
            <w:t>Relatório de Análise de Dados</w:t>
          </w:r>
        </w:p>
        <w:p>
          <w:pPr>
            <w:pStyle w:val="Normal"/>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spacing w:lineRule="auto" w:line="240" w:beforeAutospacing="0" w:before="0" w:afterAutospacing="0" w:after="0"/>
            <w:ind w:left="0" w:right="0" w:hanging="0"/>
            <w:jc w:val="center"/>
            <w:rPr/>
          </w:pPr>
          <w:r>
            <w:rPr>
              <w:b/>
              <w:sz w:val="18"/>
              <w:szCs w:val="18"/>
            </w:rPr>
            <w:t>https://github.com/philsf-biostat/analise_dados_JM_2018a</w:t>
          </w:r>
        </w:p>
      </w:tc>
    </w:tr>
  </w:tbl>
  <w:p>
    <w:pPr>
      <w:pStyle w:val="Normal"/>
      <w:spacing w:lineRule="auto" w:line="240" w:beforeAutospacing="0" w:before="280" w:afterAutospacing="0" w:after="120"/>
      <w:jc w:val="center"/>
      <w:rPr/>
    </w:pPr>
    <w:r>
      <w:rPr/>
      <mc:AlternateContent>
        <mc:Choice Requires="wps">
          <w:drawing>
            <wp:inline distT="0" distB="0" distL="0" distR="0" wp14:anchorId="6B2BA233">
              <wp:extent cx="6122670" cy="20955"/>
              <wp:effectExtent l="0" t="0" r="0" b="1270"/>
              <wp:docPr id="1" name=""/>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5pt;width:482pt;height:1.55pt;mso-position-vertical:top" wp14:anchorId="6B2BA233">
              <w10:wrap type="none"/>
              <v:fill o:detectmouseclick="t" type="solid" color2="#5f5f5f"/>
              <v:stroke color="#3465a4" joinstyle="round" endcap="flat"/>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Ind w:w="0" w:type="dxa"/>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LibreOffice/6.3.4.2$Linux_X86_64 LibreOffice_project/30$Build-2</Application>
  <Pages>4</Pages>
  <Words>935</Words>
  <Characters>5467</Characters>
  <CharactersWithSpaces>6331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2019-12-19T16:04:27Z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