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280"/>
        <w:contextualSpacing/>
        <w:rPr/>
      </w:pPr>
      <w:r>
        <w:rPr/>
        <w:t>Eficácia do Ácido tranexâmico na redução de edema em cirurgias plásticas de face: projeto piloto</w:t>
      </w:r>
    </w:p>
    <w:p>
      <w:pPr>
        <w:pStyle w:val="Subttulo"/>
        <w:spacing w:before="280" w:after="280"/>
        <w:rPr/>
      </w:pPr>
      <w:r>
        <w:rPr/>
        <w:t>DOCUMENTO: analise_dados_VL_2019-v01a</w:t>
      </w:r>
    </w:p>
    <w:p>
      <w:pPr>
        <w:pStyle w:val="Author"/>
        <w:rPr/>
      </w:pPr>
      <w:r>
        <w:rPr>
          <w:b/>
          <w:bCs/>
        </w:rPr>
        <w:t>De:</w:t>
      </w:r>
      <w:r>
        <w:rPr/>
        <w:t xml:space="preserve"> Felipe Figueiredo </w:t>
      </w:r>
      <w:r>
        <w:rPr>
          <w:b/>
          <w:bCs/>
        </w:rPr>
        <w:t>Para:</w:t>
      </w:r>
      <w:r>
        <w:rPr/>
        <w:t xml:space="preserve"> Victor Lima</w:t>
      </w:r>
    </w:p>
    <w:p>
      <w:pPr>
        <w:pStyle w:val="Date"/>
        <w:spacing w:before="280" w:after="280"/>
        <w:rPr/>
      </w:pPr>
      <w:r>
        <w:rPr>
          <w:b/>
          <w:bCs/>
        </w:rPr>
        <w:t>Data:</w:t>
      </w:r>
      <w:r>
        <w:rPr/>
        <w:t xml:space="preserve"> 2020-02-04</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Sumário</w:t>
          </w:r>
        </w:p>
        <w:p>
          <w:pPr>
            <w:pStyle w:val="Sumrio1"/>
            <w:tabs>
              <w:tab w:val="clear" w:pos="720"/>
              <w:tab w:val="right" w:pos="10630" w:leader="dot"/>
            </w:tabs>
            <w:rPr/>
          </w:pPr>
          <w:r>
            <w:fldChar w:fldCharType="begin"/>
          </w:r>
          <w:r>
            <w:rPr>
              <w:webHidden/>
              <w:rStyle w:val="Vnculodendice"/>
            </w:rPr>
            <w:instrText> TOC \z \o "1-3" \u \h</w:instrText>
          </w:r>
          <w:r>
            <w:rPr>
              <w:webHidden/>
              <w:rStyle w:val="Vnculodendice"/>
            </w:rPr>
            <w:fldChar w:fldCharType="separate"/>
          </w:r>
          <w:hyperlink w:anchor="__RefHeading___Toc601_3238759081">
            <w:r>
              <w:rPr>
                <w:webHidden/>
                <w:rStyle w:val="Vnculodendice"/>
              </w:rPr>
              <w:t>1 Lista de abreviaturas</w:t>
              <w:tab/>
              <w:t>2</w:t>
            </w:r>
          </w:hyperlink>
        </w:p>
        <w:p>
          <w:pPr>
            <w:pStyle w:val="Sumrio1"/>
            <w:tabs>
              <w:tab w:val="clear" w:pos="720"/>
              <w:tab w:val="right" w:pos="10630" w:leader="dot"/>
            </w:tabs>
            <w:rPr/>
          </w:pPr>
          <w:hyperlink w:anchor="__RefHeading___Toc603_3238759081">
            <w:r>
              <w:rPr>
                <w:webHidden/>
                <w:rStyle w:val="Vnculodendice"/>
              </w:rPr>
              <w:t>2 Introdução</w:t>
              <w:tab/>
              <w:t>2</w:t>
            </w:r>
          </w:hyperlink>
        </w:p>
        <w:p>
          <w:pPr>
            <w:pStyle w:val="Sumrio2"/>
            <w:tabs>
              <w:tab w:val="clear" w:pos="720"/>
              <w:tab w:val="right" w:pos="10630" w:leader="dot"/>
            </w:tabs>
            <w:rPr/>
          </w:pPr>
          <w:hyperlink w:anchor="__RefHeading___Toc605_3238759081">
            <w:r>
              <w:rPr>
                <w:webHidden/>
                <w:rStyle w:val="Vnculodendice"/>
              </w:rPr>
              <w:t>2.1 Objetivos</w:t>
              <w:tab/>
              <w:t>2</w:t>
            </w:r>
          </w:hyperlink>
        </w:p>
        <w:p>
          <w:pPr>
            <w:pStyle w:val="Sumrio2"/>
            <w:tabs>
              <w:tab w:val="clear" w:pos="720"/>
              <w:tab w:val="right" w:pos="10630" w:leader="dot"/>
            </w:tabs>
            <w:rPr/>
          </w:pPr>
          <w:hyperlink w:anchor="__RefHeading___Toc607_3238759081">
            <w:r>
              <w:rPr>
                <w:webHidden/>
                <w:rStyle w:val="Vnculodendice"/>
              </w:rPr>
              <w:t>2.2 Recepção e tratamento dos dados</w:t>
              <w:tab/>
              <w:t>2</w:t>
            </w:r>
          </w:hyperlink>
        </w:p>
        <w:p>
          <w:pPr>
            <w:pStyle w:val="Sumrio1"/>
            <w:tabs>
              <w:tab w:val="clear" w:pos="720"/>
              <w:tab w:val="right" w:pos="10630" w:leader="dot"/>
            </w:tabs>
            <w:rPr/>
          </w:pPr>
          <w:hyperlink w:anchor="__RefHeading___Toc609_3238759081">
            <w:r>
              <w:rPr>
                <w:webHidden/>
                <w:rStyle w:val="Vnculodendice"/>
              </w:rPr>
              <w:t>3 Metodologia</w:t>
              <w:tab/>
              <w:t>2</w:t>
            </w:r>
          </w:hyperlink>
        </w:p>
        <w:p>
          <w:pPr>
            <w:pStyle w:val="Sumrio2"/>
            <w:tabs>
              <w:tab w:val="clear" w:pos="720"/>
              <w:tab w:val="right" w:pos="10630" w:leader="dot"/>
            </w:tabs>
            <w:rPr/>
          </w:pPr>
          <w:hyperlink w:anchor="__RefHeading___Toc611_3238759081">
            <w:r>
              <w:rPr>
                <w:webHidden/>
                <w:rStyle w:val="Vnculodendice"/>
              </w:rPr>
              <w:t>3.1 Tamanho do estudo</w:t>
              <w:tab/>
              <w:t>2</w:t>
            </w:r>
          </w:hyperlink>
        </w:p>
        <w:p>
          <w:pPr>
            <w:pStyle w:val="Sumrio2"/>
            <w:tabs>
              <w:tab w:val="clear" w:pos="720"/>
              <w:tab w:val="right" w:pos="10630" w:leader="dot"/>
            </w:tabs>
            <w:rPr/>
          </w:pPr>
          <w:hyperlink w:anchor="__RefHeading___Toc613_3238759081">
            <w:r>
              <w:rPr>
                <w:webHidden/>
                <w:rStyle w:val="Vnculodendice"/>
              </w:rPr>
              <w:t>3.2 Variáveis coletadas</w:t>
              <w:tab/>
              <w:t>2</w:t>
            </w:r>
          </w:hyperlink>
        </w:p>
        <w:p>
          <w:pPr>
            <w:pStyle w:val="Sumrio2"/>
            <w:tabs>
              <w:tab w:val="clear" w:pos="720"/>
              <w:tab w:val="right" w:pos="10630" w:leader="dot"/>
            </w:tabs>
            <w:rPr/>
          </w:pPr>
          <w:hyperlink w:anchor="__RefHeading___Toc615_3238759081">
            <w:r>
              <w:rPr>
                <w:webHidden/>
                <w:rStyle w:val="Vnculodendice"/>
              </w:rPr>
              <w:t>3.3 Análise estatística</w:t>
              <w:tab/>
              <w:t>2</w:t>
            </w:r>
          </w:hyperlink>
        </w:p>
        <w:p>
          <w:pPr>
            <w:pStyle w:val="Sumrio1"/>
            <w:tabs>
              <w:tab w:val="clear" w:pos="720"/>
              <w:tab w:val="right" w:pos="10630" w:leader="dot"/>
            </w:tabs>
            <w:rPr/>
          </w:pPr>
          <w:hyperlink w:anchor="__RefHeading___Toc617_3238759081">
            <w:r>
              <w:rPr>
                <w:webHidden/>
                <w:rStyle w:val="Vnculodendice"/>
              </w:rPr>
              <w:t>4 Resultados</w:t>
              <w:tab/>
              <w:t>3</w:t>
            </w:r>
          </w:hyperlink>
        </w:p>
        <w:p>
          <w:pPr>
            <w:pStyle w:val="Sumrio2"/>
            <w:tabs>
              <w:tab w:val="clear" w:pos="720"/>
              <w:tab w:val="right" w:pos="10630" w:leader="dot"/>
            </w:tabs>
            <w:rPr/>
          </w:pPr>
          <w:hyperlink w:anchor="__RefHeading___Toc619_3238759081">
            <w:r>
              <w:rPr>
                <w:webHidden/>
                <w:rStyle w:val="Vnculodendice"/>
              </w:rPr>
              <w:t>4.1 Descrição da amostra de estudo</w:t>
              <w:tab/>
              <w:t>3</w:t>
            </w:r>
          </w:hyperlink>
        </w:p>
        <w:p>
          <w:pPr>
            <w:pStyle w:val="Sumrio2"/>
            <w:tabs>
              <w:tab w:val="clear" w:pos="720"/>
              <w:tab w:val="right" w:pos="10630" w:leader="dot"/>
            </w:tabs>
            <w:rPr/>
          </w:pPr>
          <w:hyperlink w:anchor="__RefHeading___Toc621_3238759081">
            <w:r>
              <w:rPr>
                <w:webHidden/>
                <w:rStyle w:val="Vnculodendice"/>
              </w:rPr>
              <w:t>4.2 Eficácia do tratamento</w:t>
              <w:tab/>
              <w:t>3</w:t>
            </w:r>
          </w:hyperlink>
        </w:p>
        <w:p>
          <w:pPr>
            <w:pStyle w:val="Sumrio1"/>
            <w:tabs>
              <w:tab w:val="clear" w:pos="720"/>
              <w:tab w:val="right" w:pos="10630" w:leader="dot"/>
            </w:tabs>
            <w:rPr/>
          </w:pPr>
          <w:hyperlink w:anchor="__RefHeading___Toc623_3238759081">
            <w:r>
              <w:rPr>
                <w:webHidden/>
                <w:rStyle w:val="Vnculodendice"/>
              </w:rPr>
              <w:t>5 Conclusões</w:t>
              <w:tab/>
              <w:t>3</w:t>
            </w:r>
          </w:hyperlink>
        </w:p>
        <w:p>
          <w:pPr>
            <w:pStyle w:val="Sumrio1"/>
            <w:tabs>
              <w:tab w:val="clear" w:pos="720"/>
              <w:tab w:val="right" w:pos="10630" w:leader="dot"/>
            </w:tabs>
            <w:rPr/>
          </w:pPr>
          <w:hyperlink w:anchor="__RefHeading___Toc625_3238759081">
            <w:r>
              <w:rPr>
                <w:webHidden/>
                <w:rStyle w:val="Vnculodendice"/>
              </w:rPr>
              <w:t>6 Referências</w:t>
              <w:tab/>
              <w:t>3</w:t>
            </w:r>
          </w:hyperlink>
        </w:p>
        <w:p>
          <w:pPr>
            <w:pStyle w:val="Sumrio1"/>
            <w:tabs>
              <w:tab w:val="clear" w:pos="720"/>
              <w:tab w:val="right" w:pos="10630" w:leader="dot"/>
            </w:tabs>
            <w:rPr/>
          </w:pPr>
          <w:hyperlink w:anchor="__RefHeading___Toc627_3238759081">
            <w:r>
              <w:rPr>
                <w:webHidden/>
                <w:rStyle w:val="Vnculodendice"/>
              </w:rPr>
              <w:t>7 Apêndice</w:t>
              <w:tab/>
              <w:t>3</w:t>
            </w:r>
          </w:hyperlink>
          <w:r>
            <w:rPr>
              <w:rStyle w:val="Vnculodendice"/>
            </w:rPr>
            <w:fldChar w:fldCharType="end"/>
          </w:r>
        </w:p>
      </w:sdtContent>
    </w:sdt>
    <w:p>
      <w:pPr>
        <w:pStyle w:val="Normal"/>
        <w:spacing w:before="0" w:after="280"/>
        <w:rPr/>
      </w:pPr>
      <w:r>
        <w:rPr/>
        <mc:AlternateContent>
          <mc:Choice Requires="wps">
            <w:drawing>
              <wp:inline distT="0" distB="0" distL="0" distR="0">
                <wp:extent cx="6751320" cy="20955"/>
                <wp:effectExtent l="0" t="0" r="0" b="0"/>
                <wp:docPr id="1" name="Forma1"/>
                <a:graphic xmlns:a="http://schemas.openxmlformats.org/drawingml/2006/main">
                  <a:graphicData uri="http://schemas.microsoft.com/office/word/2010/wordprocessingShape">
                    <wps:wsp>
                      <wps:cNvSpPr/>
                      <wps:spPr>
                        <a:xfrm>
                          <a:off x="0" y="0"/>
                          <a:ext cx="675072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style="position:absolute;margin-left:0pt;margin-top:-1.65pt;width:531.5pt;height:1.55pt;mso-wrap-style:none;v-text-anchor:middle;mso-position-vertical:top">
                <v:fill o:detectmouseclick="t" type="solid" color2="black"/>
                <v:stroke color="black" joinstyle="round" endcap="flat"/>
                <w10:wrap type="square"/>
              </v:rect>
            </w:pict>
          </mc:Fallback>
        </mc:AlternateContent>
      </w:r>
      <w:r>
        <w:br w:type="page"/>
      </w:r>
    </w:p>
    <w:p>
      <w:pPr>
        <w:pStyle w:val="Normal"/>
        <w:spacing w:before="280" w:after="280"/>
        <w:rPr/>
      </w:pPr>
      <w:r>
        <w:rPr>
          <w:b/>
          <w:bCs/>
        </w:rPr>
        <w:t>Histórico do documento</w:t>
      </w:r>
    </w:p>
    <w:tbl>
      <w:tblPr>
        <w:tblStyle w:val="NormalTable0"/>
        <w:tblW w:w="2256"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850"/>
        <w:gridCol w:w="1405"/>
      </w:tblGrid>
      <w:tr>
        <w:trPr/>
        <w:tc>
          <w:tcPr>
            <w:tcW w:w="850" w:type="dxa"/>
            <w:cnfStyle w:val="000010000000" w:firstRow="0" w:lastRow="0" w:firstColumn="0" w:lastColumn="0" w:oddVBand="1" w:evenVBand="0"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left"/>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Versão</w:t>
            </w:r>
          </w:p>
        </w:tc>
        <w:tc>
          <w:tcPr>
            <w:tcW w:w="1405" w:type="dxa"/>
            <w:cnfStyle w:val="000001000000" w:firstRow="0" w:lastRow="0" w:firstColumn="0" w:lastColumn="0" w:oddVBand="0" w:evenVBand="1"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left"/>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Alterações</w:t>
            </w:r>
          </w:p>
        </w:tc>
      </w:tr>
      <w:tr>
        <w:trPr/>
        <w:tc>
          <w:tcPr>
            <w:tcW w:w="850"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Arial"/>
                <w:kern w:val="0"/>
                <w:sz w:val="18"/>
                <w:szCs w:val="20"/>
                <w:lang w:val="pt-BR" w:eastAsia="pt-BR" w:bidi="ar-SA"/>
              </w:rPr>
            </w:pPr>
            <w:r>
              <w:rPr>
                <w:rFonts w:eastAsia="Calibri" w:cs="Arial"/>
                <w:kern w:val="0"/>
                <w:sz w:val="18"/>
                <w:szCs w:val="20"/>
                <w:lang w:val="pt-BR" w:eastAsia="pt-BR" w:bidi="ar-SA"/>
              </w:rPr>
              <w:t>01</w:t>
            </w:r>
          </w:p>
        </w:tc>
        <w:tc>
          <w:tcPr>
            <w:tcW w:w="1405"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Arial"/>
                <w:kern w:val="0"/>
                <w:sz w:val="18"/>
                <w:szCs w:val="20"/>
                <w:lang w:val="pt-BR" w:eastAsia="pt-BR" w:bidi="ar-SA"/>
              </w:rPr>
            </w:pPr>
            <w:r>
              <w:rPr>
                <w:rFonts w:eastAsia="Calibri" w:cs="Arial"/>
                <w:kern w:val="0"/>
                <w:sz w:val="18"/>
                <w:szCs w:val="20"/>
                <w:lang w:val="pt-BR" w:eastAsia="pt-BR" w:bidi="ar-SA"/>
              </w:rPr>
              <w:t>Versão inicial</w:t>
            </w:r>
          </w:p>
        </w:tc>
      </w:tr>
    </w:tbl>
    <w:p>
      <w:pPr>
        <w:pStyle w:val="Normal"/>
        <w:spacing w:before="0" w:after="280"/>
        <w:rPr/>
      </w:pPr>
      <w:r>
        <w:rPr/>
        <mc:AlternateContent>
          <mc:Choice Requires="wps">
            <w:drawing>
              <wp:inline distT="0" distB="0" distL="0" distR="0">
                <wp:extent cx="2540" cy="20955"/>
                <wp:effectExtent l="0" t="0" r="0" b="0"/>
                <wp:docPr id="2" name="Forma2"/>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style="position:absolute;margin-left:0pt;margin-top:-1.65pt;width:0.1pt;height:1.55pt;mso-wrap-style:none;v-text-anchor:middle;mso-position-vertical:top">
                <v:fill o:detectmouseclick="t" type="solid" color2="black"/>
                <v:stroke color="black" joinstyle="round" endcap="flat"/>
                <w10:wrap type="square"/>
              </v:rect>
            </w:pict>
          </mc:Fallback>
        </mc:AlternateContent>
      </w:r>
    </w:p>
    <w:p>
      <w:pPr>
        <w:pStyle w:val="Ttulo1"/>
        <w:spacing w:before="280" w:after="280"/>
        <w:ind w:left="431" w:hanging="431"/>
        <w:rPr/>
      </w:pPr>
      <w:bookmarkStart w:id="0" w:name="__RefHeading___Toc601_3238759081"/>
      <w:bookmarkStart w:id="1" w:name="lista-de-abreviaturas"/>
      <w:bookmarkEnd w:id="0"/>
      <w:bookmarkEnd w:id="1"/>
      <w:r>
        <w:rPr/>
        <w:t>Lista de abreviaturas</w:t>
      </w:r>
    </w:p>
    <w:p>
      <w:pPr>
        <w:pStyle w:val="Normal"/>
        <w:numPr>
          <w:ilvl w:val="0"/>
          <w:numId w:val="2"/>
        </w:numPr>
        <w:spacing w:before="280" w:after="0"/>
        <w:rPr/>
      </w:pPr>
      <w:r>
        <w:rPr/>
        <w:t>SMD: diferença média padronizada (d de Cohen)</w:t>
      </w:r>
    </w:p>
    <w:p>
      <w:pPr>
        <w:pStyle w:val="Normal"/>
        <w:numPr>
          <w:ilvl w:val="0"/>
          <w:numId w:val="2"/>
        </w:numPr>
        <w:spacing w:before="0" w:after="280"/>
        <w:rPr/>
      </w:pPr>
      <w:r>
        <w:rPr/>
        <w:t>TXA: ácido tranexâmico</w:t>
      </w:r>
    </w:p>
    <w:p>
      <w:pPr>
        <w:pStyle w:val="Ttulo1"/>
        <w:spacing w:before="280" w:after="280"/>
        <w:ind w:left="431" w:hanging="431"/>
        <w:rPr/>
      </w:pPr>
      <w:bookmarkStart w:id="2" w:name="__RefHeading___Toc603_3238759081"/>
      <w:bookmarkStart w:id="3" w:name="lista-de-abreviaturas1"/>
      <w:bookmarkStart w:id="4" w:name="introdução"/>
      <w:bookmarkEnd w:id="2"/>
      <w:bookmarkEnd w:id="3"/>
      <w:bookmarkEnd w:id="4"/>
      <w:r>
        <w:rPr/>
        <w:t>Introdução</w:t>
      </w:r>
    </w:p>
    <w:p>
      <w:pPr>
        <w:pStyle w:val="Ttulo2"/>
        <w:spacing w:before="280" w:after="280"/>
        <w:ind w:left="578" w:hanging="578"/>
        <w:rPr/>
      </w:pPr>
      <w:bookmarkStart w:id="5" w:name="__RefHeading___Toc605_3238759081"/>
      <w:bookmarkStart w:id="6" w:name="objetivos"/>
      <w:bookmarkEnd w:id="5"/>
      <w:bookmarkEnd w:id="6"/>
      <w:r>
        <w:rPr/>
        <w:t>Objetivos</w:t>
      </w:r>
    </w:p>
    <w:p>
      <w:pPr>
        <w:pStyle w:val="Ttulo2"/>
        <w:spacing w:before="280" w:after="280"/>
        <w:ind w:left="578" w:hanging="578"/>
        <w:rPr/>
      </w:pPr>
      <w:bookmarkStart w:id="7" w:name="__RefHeading___Toc607_3238759081"/>
      <w:bookmarkStart w:id="8" w:name="objetivos1"/>
      <w:bookmarkStart w:id="9" w:name="recepção-e-tratamento-dos-dados"/>
      <w:bookmarkEnd w:id="7"/>
      <w:bookmarkEnd w:id="8"/>
      <w:bookmarkEnd w:id="9"/>
      <w:r>
        <w:rPr/>
        <w:t>Recepção e tratamento dos dados</w:t>
      </w:r>
    </w:p>
    <w:p>
      <w:pPr>
        <w:pStyle w:val="Ttulo1"/>
        <w:spacing w:before="280" w:after="280"/>
        <w:ind w:left="431" w:hanging="431"/>
        <w:rPr/>
      </w:pPr>
      <w:bookmarkStart w:id="10" w:name="__RefHeading___Toc609_3238759081"/>
      <w:bookmarkStart w:id="11" w:name="introdução1"/>
      <w:bookmarkStart w:id="12" w:name="recepção-e-tratamento-dos-dados1"/>
      <w:bookmarkStart w:id="13" w:name="metodologia"/>
      <w:bookmarkEnd w:id="10"/>
      <w:bookmarkEnd w:id="11"/>
      <w:bookmarkEnd w:id="12"/>
      <w:bookmarkEnd w:id="13"/>
      <w:r>
        <w:rPr/>
        <w:t>Metodologia</w:t>
      </w:r>
    </w:p>
    <w:p>
      <w:pPr>
        <w:pStyle w:val="Ttulo2"/>
        <w:spacing w:before="280" w:after="280"/>
        <w:ind w:left="578" w:hanging="578"/>
        <w:rPr/>
      </w:pPr>
      <w:bookmarkStart w:id="14" w:name="__RefHeading___Toc611_3238759081"/>
      <w:bookmarkStart w:id="15" w:name="tamanho-do-estudo"/>
      <w:bookmarkEnd w:id="14"/>
      <w:bookmarkEnd w:id="15"/>
      <w:r>
        <w:rPr/>
        <w:t>Tamanho do estudo</w:t>
      </w:r>
    </w:p>
    <w:p>
      <w:pPr>
        <w:pStyle w:val="Normal"/>
        <w:spacing w:before="280" w:after="280"/>
        <w:rPr/>
      </w:pPr>
      <w:r>
        <w:rPr/>
        <w:t xml:space="preserve">O cálculo do tamanho da amostra de um estudo requer a estipulação prévia do tamanho do efeito que os pesquisadores presumem ser possível detectar. Na ausência de estudos descritivos prévios estabelecendo as estatísticas descritivas típicas para determinação de tamanhos de efeito absolutos no cenário específico de um estudo, a determinação de um tamanho de efeito absoluto pode ser um desafio, pois nem sempre a média ou a variabilidade da população são conhecidas antes da intervenção do estudo. Na abordagem de Cohen (1988) de tamanhos de efeitos relativos utiliza-se a diferença normalizada </w:t>
      </w:r>
      <w:r>
        <w:rPr>
          <w:b/>
          <w:bCs/>
        </w:rPr>
        <w:t>d</w:t>
      </w:r>
      <w:r>
        <w:rPr/>
        <w:t xml:space="preserve"> que é relativa à variabilidade na população alvo. Esta abordagem permite calcular tamanhos de amostra para detectar efeitos considerados pequenos (d em torno de 0.2 ou 0.3), médios (d em torno de 0.5) ou grandes (d em torno de 0.8 ou 1). Mas mesmo presumindo que TXA tenha tenha efeito relativo médio (em torno de d=0.5) no volume drenado pós-operatório, precisamos ainda diferenciar as particularidades da ritidoplastia e da mastoplastia. Como a área acometida na mastoplastia é substancialmente maior que na ritidoplastia, é razoável que haja mais variabilidade observável no volume drenado naquele procedimento o que pode dificultar a detecção do efeito do TXA, quando comparado à ritidoplastia. Estipulamos assim um efeito relativo para mastoplastia (d=0.4) ligeiramente menor do que para ritidoplastia (d=0.6). Para atingir poder de 80% ao nível de 5% de significância em um estudo pareado são necessários aproximadamente N=50 participantes de mastoplastia (d=0.4) e aproximadamente N=23 participantes de ritidoplastia (d=0.6). Assim o tamanho total do estudo é de N=73 participantes.</w:t>
      </w:r>
    </w:p>
    <w:p>
      <w:pPr>
        <w:pStyle w:val="Ttulo2"/>
        <w:spacing w:before="280" w:after="280"/>
        <w:ind w:left="578" w:hanging="578"/>
        <w:rPr/>
      </w:pPr>
      <w:bookmarkStart w:id="16" w:name="__RefHeading___Toc613_3238759081"/>
      <w:bookmarkStart w:id="17" w:name="tamanho-do-estudo1"/>
      <w:bookmarkStart w:id="18" w:name="variáveis-coletadas"/>
      <w:bookmarkEnd w:id="16"/>
      <w:bookmarkEnd w:id="17"/>
      <w:bookmarkEnd w:id="18"/>
      <w:r>
        <w:rPr/>
        <w:t>Variáveis coletadas</w:t>
      </w:r>
    </w:p>
    <w:p>
      <w:pPr>
        <w:pStyle w:val="Ttulo2"/>
        <w:spacing w:before="280" w:after="280"/>
        <w:ind w:left="578" w:hanging="578"/>
        <w:rPr/>
      </w:pPr>
      <w:bookmarkStart w:id="19" w:name="__RefHeading___Toc615_3238759081"/>
      <w:bookmarkStart w:id="20" w:name="variáveis-coletadas1"/>
      <w:bookmarkStart w:id="21" w:name="análise-estatística"/>
      <w:bookmarkEnd w:id="19"/>
      <w:bookmarkEnd w:id="20"/>
      <w:bookmarkEnd w:id="21"/>
      <w:r>
        <w:rPr/>
        <w:t>Análise estatística</w:t>
      </w:r>
    </w:p>
    <w:p>
      <w:pPr>
        <w:pStyle w:val="Normal"/>
        <w:spacing w:before="280" w:after="280"/>
        <w:rPr/>
      </w:pPr>
      <w:r>
        <w:rPr/>
        <w:t>Esta análise foi realizada utilizando-se o software R versão 3.6.2.</w:t>
      </w:r>
    </w:p>
    <w:p>
      <w:pPr>
        <w:pStyle w:val="Ttulo1"/>
        <w:spacing w:before="280" w:after="280"/>
        <w:ind w:left="431" w:hanging="431"/>
        <w:rPr/>
      </w:pPr>
      <w:bookmarkStart w:id="22" w:name="__RefHeading___Toc617_3238759081"/>
      <w:bookmarkStart w:id="23" w:name="metodologia1"/>
      <w:bookmarkStart w:id="24" w:name="análise-estatística1"/>
      <w:bookmarkStart w:id="25" w:name="resultados"/>
      <w:bookmarkEnd w:id="22"/>
      <w:bookmarkEnd w:id="23"/>
      <w:bookmarkEnd w:id="24"/>
      <w:bookmarkEnd w:id="25"/>
      <w:r>
        <w:rPr/>
        <w:t>Resultados</w:t>
      </w:r>
    </w:p>
    <w:p>
      <w:pPr>
        <w:pStyle w:val="Ttulo2"/>
        <w:spacing w:before="280" w:after="280"/>
        <w:ind w:left="578" w:hanging="578"/>
        <w:rPr/>
      </w:pPr>
      <w:bookmarkStart w:id="26" w:name="__RefHeading___Toc619_3238759081"/>
      <w:bookmarkStart w:id="27" w:name="descrição-da-amostra-de-estudo"/>
      <w:bookmarkEnd w:id="26"/>
      <w:bookmarkEnd w:id="27"/>
      <w:r>
        <w:rPr/>
        <w:t>Descrição da amostra de estudo</w:t>
      </w:r>
    </w:p>
    <w:p>
      <w:pPr>
        <w:pStyle w:val="Normal"/>
        <w:spacing w:before="280" w:after="280"/>
        <w:rPr/>
      </w:pPr>
      <w:r>
        <w:rPr>
          <w:b/>
          <w:bCs/>
        </w:rPr>
        <w:t>Tabela 1</w:t>
      </w:r>
      <w:r>
        <w:rPr/>
        <w:t xml:space="preserve"> Características demográficas da amostra do estudo piloto.</w:t>
      </w:r>
    </w:p>
    <w:tbl>
      <w:tblPr>
        <w:tblStyle w:val="NormalTable0"/>
        <w:tblW w:w="2635"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495"/>
        <w:gridCol w:w="1139"/>
      </w:tblGrid>
      <w:tr>
        <w:trPr/>
        <w:tc>
          <w:tcPr>
            <w:tcW w:w="1495" w:type="dxa"/>
            <w:cnfStyle w:val="000010000000" w:firstRow="0" w:lastRow="0" w:firstColumn="0" w:lastColumn="0" w:oddVBand="1" w:evenVBand="0"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Group</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value</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Observations</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23</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SEXO</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F</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(23)</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missing</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IDADE</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yes</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no</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missing</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(23)</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ALTURA</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yes</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no</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missing</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(23)</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PESO</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yes</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no</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(0)</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missing</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(23)</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IMC</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Mean (SD)</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NaN (NA)</w:t>
            </w:r>
          </w:p>
        </w:tc>
      </w:tr>
      <w:tr>
        <w:trPr/>
        <w:tc>
          <w:tcPr>
            <w:tcW w:w="1495"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valid (missing)</w:t>
            </w:r>
          </w:p>
        </w:tc>
        <w:tc>
          <w:tcPr>
            <w:tcW w:w="1139"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 (23)</w:t>
            </w:r>
          </w:p>
        </w:tc>
      </w:tr>
    </w:tbl>
    <w:p>
      <w:pPr>
        <w:pStyle w:val="Ttulo2"/>
        <w:spacing w:before="280" w:after="280"/>
        <w:ind w:left="578" w:hanging="578"/>
        <w:rPr/>
      </w:pPr>
      <w:bookmarkStart w:id="28" w:name="__RefHeading___Toc621_3238759081"/>
      <w:bookmarkStart w:id="29" w:name="descrição-da-amostra-de-estudo1"/>
      <w:bookmarkEnd w:id="28"/>
      <w:bookmarkEnd w:id="29"/>
      <w:r>
        <w:rPr/>
        <w:t>Eficácia do tratamento</w:t>
      </w:r>
    </w:p>
    <w:p>
      <w:pPr>
        <w:pStyle w:val="Normal"/>
        <w:spacing w:before="280" w:after="280"/>
        <w:rPr/>
      </w:pPr>
      <w:r>
        <w:rPr>
          <w:b/>
          <w:bCs/>
        </w:rPr>
        <w:t>Tabela 2</w:t>
      </w:r>
      <w:r>
        <w:rPr/>
        <w:t xml:space="preserve"> Avaliação da eficácia do tratamento com áxido tranexâmico (txa) em comparação ao lado controle (ctr); SMD = standardized mean difference – estimativa do tamanho do efeito observado</w:t>
      </w:r>
    </w:p>
    <w:tbl>
      <w:tblPr>
        <w:tblStyle w:val="NormalTable0"/>
        <w:tblW w:w="6519"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49"/>
        <w:gridCol w:w="1296"/>
        <w:gridCol w:w="1184"/>
        <w:gridCol w:w="833"/>
        <w:gridCol w:w="539"/>
        <w:gridCol w:w="717"/>
      </w:tblGrid>
      <w:tr>
        <w:trPr/>
        <w:tc>
          <w:tcPr>
            <w:tcW w:w="1949" w:type="dxa"/>
            <w:cnfStyle w:val="000010000000" w:firstRow="0" w:lastRow="0" w:firstColumn="0" w:lastColumn="0" w:oddVBand="1" w:evenVBand="0"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 </w:t>
            </w:r>
          </w:p>
        </w:tc>
        <w:tc>
          <w:tcPr>
            <w:tcW w:w="1296" w:type="dxa"/>
            <w:cnfStyle w:val="000001000000" w:firstRow="0" w:lastRow="0" w:firstColumn="0" w:lastColumn="0" w:oddVBand="0" w:evenVBand="1"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ctr</w:t>
            </w:r>
          </w:p>
        </w:tc>
        <w:tc>
          <w:tcPr>
            <w:tcW w:w="1184" w:type="dxa"/>
            <w:cnfStyle w:val="000010000000" w:firstRow="0" w:lastRow="0" w:firstColumn="0" w:lastColumn="0" w:oddVBand="1" w:evenVBand="0"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txa</w:t>
            </w:r>
          </w:p>
        </w:tc>
        <w:tc>
          <w:tcPr>
            <w:tcW w:w="833" w:type="dxa"/>
            <w:cnfStyle w:val="000001000000" w:firstRow="0" w:lastRow="0" w:firstColumn="0" w:lastColumn="0" w:oddVBand="0" w:evenVBand="1"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p</w:t>
            </w:r>
          </w:p>
        </w:tc>
        <w:tc>
          <w:tcPr>
            <w:tcW w:w="539" w:type="dxa"/>
            <w:cnfStyle w:val="000010000000" w:firstRow="0" w:lastRow="0" w:firstColumn="0" w:lastColumn="0" w:oddVBand="1" w:evenVBand="0"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test</w:t>
            </w:r>
          </w:p>
        </w:tc>
        <w:tc>
          <w:tcPr>
            <w:tcW w:w="717" w:type="dxa"/>
            <w:cnfStyle w:val="000001000000" w:firstRow="0" w:lastRow="0" w:firstColumn="0" w:lastColumn="0" w:oddVBand="0" w:evenVBand="1" w:oddHBand="0" w:evenHBand="0" w:firstRowFirstColumn="0" w:firstRowLastColumn="0" w:lastRowFirstColumn="0" w:lastRowLastColumn="0"/>
            <w:tcBorders/>
            <w:shd w:color="auto" w:fill="BFBFBF" w:themeFill="background1" w:themeFillShade="bf" w:val="clear"/>
          </w:tcPr>
          <w:p>
            <w:pPr>
              <w:pStyle w:val="Normal"/>
              <w:widowControl w:val="false"/>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SMD</w:t>
            </w:r>
          </w:p>
        </w:tc>
      </w:tr>
      <w:tr>
        <w:trPr/>
        <w:tc>
          <w:tcPr>
            <w:tcW w:w="1949"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b/>
                <w:bCs/>
                <w:kern w:val="0"/>
                <w:sz w:val="18"/>
                <w:szCs w:val="20"/>
                <w:lang w:val="pt-BR" w:eastAsia="pt-BR" w:bidi="ar-SA"/>
              </w:rPr>
              <w:t>n</w:t>
            </w:r>
          </w:p>
        </w:tc>
        <w:tc>
          <w:tcPr>
            <w:tcW w:w="1296"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23</w:t>
            </w:r>
          </w:p>
        </w:tc>
        <w:tc>
          <w:tcPr>
            <w:tcW w:w="1184"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23</w:t>
            </w:r>
          </w:p>
        </w:tc>
        <w:tc>
          <w:tcPr>
            <w:tcW w:w="833"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c>
          <w:tcPr>
            <w:tcW w:w="539"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c>
          <w:tcPr>
            <w:tcW w:w="717"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49"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b/>
                <w:bCs/>
                <w:kern w:val="0"/>
                <w:sz w:val="18"/>
                <w:szCs w:val="20"/>
                <w:lang w:val="pt-BR" w:eastAsia="pt-BR" w:bidi="ar-SA"/>
              </w:rPr>
              <w:t>dreno (mean (SD))</w:t>
            </w:r>
          </w:p>
        </w:tc>
        <w:tc>
          <w:tcPr>
            <w:tcW w:w="1296"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10.30 (5.06)</w:t>
            </w:r>
          </w:p>
        </w:tc>
        <w:tc>
          <w:tcPr>
            <w:tcW w:w="1184"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4.96 (2.46)</w:t>
            </w:r>
          </w:p>
        </w:tc>
        <w:tc>
          <w:tcPr>
            <w:tcW w:w="833"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&lt;0.001</w:t>
            </w:r>
          </w:p>
        </w:tc>
        <w:tc>
          <w:tcPr>
            <w:tcW w:w="539" w:type="dxa"/>
            <w:cnfStyle w:val="000010000000" w:firstRow="0" w:lastRow="0" w:firstColumn="0" w:lastColumn="0" w:oddVBand="1"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rPr>
                <w:rFonts w:eastAsia="Calibri" w:cs="Arial"/>
                <w:kern w:val="0"/>
                <w:sz w:val="18"/>
                <w:szCs w:val="20"/>
                <w:lang w:val="pt-BR" w:eastAsia="pt-BR" w:bidi="ar-SA"/>
              </w:rPr>
            </w:pPr>
            <w:r>
              <w:rPr>
                <w:rFonts w:eastAsia="Calibri" w:cs="Arial"/>
                <w:kern w:val="0"/>
                <w:sz w:val="18"/>
                <w:szCs w:val="20"/>
                <w:lang w:val="pt-BR" w:eastAsia="pt-BR" w:bidi="ar-SA"/>
              </w:rPr>
            </w:r>
          </w:p>
        </w:tc>
        <w:tc>
          <w:tcPr>
            <w:tcW w:w="717" w:type="dxa"/>
            <w:cnfStyle w:val="000001000000" w:firstRow="0" w:lastRow="0" w:firstColumn="0" w:lastColumn="0" w:oddVBand="0" w:evenVBand="1"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1.345</w:t>
            </w:r>
          </w:p>
        </w:tc>
      </w:tr>
    </w:tbl>
    <w:p>
      <w:pPr>
        <w:pStyle w:val="Ttulo1"/>
        <w:spacing w:before="280" w:after="280"/>
        <w:ind w:left="431" w:hanging="431"/>
        <w:rPr/>
      </w:pPr>
      <w:bookmarkStart w:id="30" w:name="__RefHeading___Toc623_3238759081"/>
      <w:bookmarkStart w:id="31" w:name="resultados1"/>
      <w:bookmarkEnd w:id="30"/>
      <w:bookmarkEnd w:id="31"/>
      <w:r>
        <w:rPr/>
        <w:t>Conclusões</w:t>
      </w:r>
    </w:p>
    <w:p>
      <w:pPr>
        <w:pStyle w:val="Ttulo1"/>
        <w:spacing w:before="280" w:after="280"/>
        <w:ind w:left="431" w:hanging="431"/>
        <w:rPr/>
      </w:pPr>
      <w:bookmarkStart w:id="32" w:name="__RefHeading___Toc625_3238759081"/>
      <w:bookmarkStart w:id="33" w:name="referências"/>
      <w:bookmarkEnd w:id="32"/>
      <w:bookmarkEnd w:id="33"/>
      <w:r>
        <w:rPr/>
        <w:t>Referências</w:t>
      </w:r>
    </w:p>
    <w:p>
      <w:pPr>
        <w:pStyle w:val="Ttulo1"/>
        <w:spacing w:before="280" w:after="280"/>
        <w:ind w:left="431" w:hanging="431"/>
        <w:rPr/>
      </w:pPr>
      <w:bookmarkStart w:id="34" w:name="__RefHeading___Toc627_3238759081"/>
      <w:bookmarkStart w:id="35" w:name="referências1"/>
      <w:bookmarkEnd w:id="34"/>
      <w:bookmarkEnd w:id="35"/>
      <w:r>
        <w:rPr/>
        <w:t>Apêndice</w:t>
      </w:r>
    </w:p>
    <w:sectPr>
      <w:headerReference w:type="default" r:id="rId2"/>
      <w:footerReference w:type="default" r:id="rId3"/>
      <w:type w:val="nextPage"/>
      <w:pgSz w:w="11906" w:h="16838"/>
      <w:pgMar w:left="567" w:right="709" w:header="708" w:top="1418" w:footer="708"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0" w:before="0" w:afterAutospacing="0" w:after="0"/>
      <w:jc w:val="center"/>
      <w:rPr/>
    </w:pPr>
    <w:r>
      <w:rPr/>
      <mc:AlternateContent>
        <mc:Choice Requires="wps">
          <w:drawing>
            <wp:inline distT="0" distB="0" distL="0" distR="0" wp14:anchorId="20DFC622">
              <wp:extent cx="6755130" cy="24130"/>
              <wp:effectExtent l="0" t="0" r="0" b="0"/>
              <wp:docPr id="6" name="Forma6"/>
              <a:graphic xmlns:a="http://schemas.openxmlformats.org/drawingml/2006/main">
                <a:graphicData uri="http://schemas.microsoft.com/office/word/2010/wordprocessingShape">
                  <wps:wsp>
                    <wps:cNvSpPr/>
                    <wps:spPr>
                      <a:xfrm>
                        <a:off x="0" y="0"/>
                        <a:ext cx="6754320" cy="234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6" path="m0,0l-2147483645,0l-2147483645,-2147483646l0,-2147483646xe" fillcolor="#a0a0a0" stroked="f" style="position:absolute;margin-left:0pt;margin-top:-1.9pt;width:531.8pt;height:1.8pt;mso-wrap-style:none;v-text-anchor:middle;mso-position-vertical:top" wp14:anchorId="20DFC622">
              <v:fill o:detectmouseclick="t" type="solid" color2="#5f5f5f"/>
              <v:stroke color="#3465a4" joinstyle="round" endcap="flat"/>
              <w10:wrap type="square"/>
            </v:rect>
          </w:pict>
        </mc:Fallback>
      </mc:AlternateContent>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3718"/>
      <w:gridCol w:w="252"/>
      <w:gridCol w:w="4174"/>
      <w:gridCol w:w="264"/>
      <w:gridCol w:w="1000"/>
      <w:gridCol w:w="267"/>
      <w:gridCol w:w="954"/>
    </w:tblGrid>
    <w:tr>
      <w:trPr>
        <w:trHeight w:val="850" w:hRule="exact"/>
        <w:cantSplit w:val="true"/>
      </w:trPr>
      <w:tc>
        <w:tcPr>
          <w:tcW w:w="3718" w:type="dxa"/>
          <w:tcBorders/>
          <w:shd w:color="auto" w:fill="auto" w:val="clear"/>
          <w:vAlign w:val="center"/>
        </w:tcPr>
        <w:p>
          <w:pPr>
            <w:pStyle w:val="Rodap"/>
            <w:widowControl w:val="false"/>
            <w:spacing w:beforeAutospacing="0" w:before="0" w:afterAutospacing="0" w:after="0"/>
            <w:rPr>
              <w:rFonts w:cs="Arial"/>
              <w:b/>
              <w:b/>
              <w:bCs/>
              <w:sz w:val="18"/>
              <w:szCs w:val="18"/>
            </w:rPr>
          </w:pPr>
          <w:r>
            <w:rPr>
              <w:rFonts w:cs="Arial"/>
              <w:b/>
              <w:bCs/>
              <w:sz w:val="18"/>
              <w:szCs w:val="18"/>
            </w:rPr>
            <w:t>Felipe Figueiredo</w:t>
          </w:r>
        </w:p>
        <w:p>
          <w:pPr>
            <w:pStyle w:val="Rodap"/>
            <w:widowControl w:val="false"/>
            <w:spacing w:before="0" w:after="0"/>
            <w:rPr>
              <w:rFonts w:ascii="Consolas" w:hAnsi="Consolas" w:cs="Arial"/>
              <w:bCs/>
              <w:sz w:val="18"/>
              <w:szCs w:val="18"/>
            </w:rPr>
          </w:pPr>
          <w:r>
            <w:rPr>
              <w:rFonts w:cs="Arial" w:ascii="Consolas" w:hAnsi="Consolas"/>
              <w:bCs/>
              <w:sz w:val="18"/>
              <w:szCs w:val="18"/>
            </w:rPr>
          </w:r>
        </w:p>
        <w:p>
          <w:pPr>
            <w:pStyle w:val="Rodap"/>
            <w:widowControl w:val="false"/>
            <w:spacing w:before="0" w:after="0"/>
            <w:rPr>
              <w:rFonts w:ascii="Consolas" w:hAnsi="Consolas" w:cs="Arial"/>
              <w:bCs/>
              <w:sz w:val="18"/>
              <w:szCs w:val="18"/>
            </w:rPr>
          </w:pPr>
          <w:r>
            <w:rPr>
              <w:rFonts w:cs="Arial" w:ascii="Consolas" w:hAnsi="Consolas"/>
              <w:bCs/>
              <w:sz w:val="18"/>
              <w:szCs w:val="18"/>
            </w:rPr>
            <w:t>prof.felipefigueiredo@gmail.com</w:t>
          </w:r>
        </w:p>
      </w:tc>
      <w:tc>
        <w:tcPr>
          <w:tcW w:w="252" w:type="dxa"/>
          <w:tcBorders/>
          <w:shd w:color="auto" w:fill="auto" w:val="clear"/>
          <w:tcMar>
            <w:left w:w="0" w:type="dxa"/>
            <w:right w:w="0" w:type="dxa"/>
          </w:tcMar>
          <w:vAlign w:val="center"/>
        </w:tcPr>
        <w:p>
          <w:pPr>
            <w:pStyle w:val="Rodap"/>
            <w:widowControl w:val="false"/>
            <w:spacing w:beforeAutospacing="0" w:before="0" w:afterAutospacing="0" w:after="0"/>
            <w:rPr>
              <w:rFonts w:cs="Arial"/>
              <w:b/>
              <w:b/>
              <w:bCs/>
              <w:sz w:val="18"/>
              <w:szCs w:val="18"/>
            </w:rPr>
          </w:pPr>
          <w:r>
            <w:rPr>
              <w:rFonts w:cs="Arial"/>
              <w:b/>
              <w:bCs/>
              <w:sz w:val="18"/>
              <w:szCs w:val="18"/>
            </w:rPr>
          </w:r>
        </w:p>
      </w:tc>
      <w:tc>
        <w:tcPr>
          <w:tcW w:w="4174" w:type="dxa"/>
          <w:tcBorders/>
          <w:shd w:color="auto" w:fill="auto" w:val="clear"/>
          <w:tcMar>
            <w:left w:w="0" w:type="dxa"/>
            <w:right w:w="0" w:type="dxa"/>
          </w:tcMar>
          <w:vAlign w:val="center"/>
        </w:tcPr>
        <w:p>
          <w:pPr>
            <w:pStyle w:val="Rodap"/>
            <w:widowControl w:val="false"/>
            <w:spacing w:beforeAutospacing="0" w:before="0" w:afterAutospacing="0" w:after="0"/>
            <w:rPr>
              <w:rFonts w:cs="Arial"/>
              <w:b/>
              <w:b/>
              <w:bCs/>
              <w:sz w:val="18"/>
              <w:szCs w:val="18"/>
            </w:rPr>
          </w:pPr>
          <w:r>
            <w:rPr>
              <w:rFonts w:cs="Arial"/>
              <w:b/>
              <w:bCs/>
              <w:sz w:val="18"/>
              <w:szCs w:val="18"/>
            </w:rPr>
            <w:t>Consultoria de Bioestatística</w:t>
          </w:r>
        </w:p>
        <w:p>
          <w:pPr>
            <w:pStyle w:val="Rodap"/>
            <w:widowControl w:val="false"/>
            <w:spacing w:before="0" w:after="0"/>
            <w:rPr>
              <w:rFonts w:ascii="Consolas" w:hAnsi="Consolas" w:cs="Arial"/>
              <w:bCs/>
              <w:sz w:val="18"/>
              <w:szCs w:val="18"/>
            </w:rPr>
          </w:pPr>
          <w:r>
            <w:rPr>
              <w:rFonts w:cs="Arial" w:ascii="Consolas" w:hAnsi="Consolas"/>
              <w:bCs/>
              <w:sz w:val="18"/>
              <w:szCs w:val="18"/>
            </w:rPr>
          </w:r>
        </w:p>
        <w:p>
          <w:pPr>
            <w:pStyle w:val="Rodap"/>
            <w:widowControl w:val="false"/>
            <w:spacing w:before="0" w:after="0"/>
            <w:rPr>
              <w:rFonts w:ascii="Consolas" w:hAnsi="Consolas" w:cs="Arial"/>
              <w:bCs/>
              <w:sz w:val="18"/>
              <w:szCs w:val="18"/>
            </w:rPr>
          </w:pPr>
          <w:r>
            <w:rPr>
              <w:rFonts w:cs="Arial" w:ascii="Consolas" w:hAnsi="Consolas"/>
              <w:bCs/>
              <w:sz w:val="18"/>
              <w:szCs w:val="18"/>
            </w:rPr>
            <w:t>https://github.com/philsf-biostat</w:t>
          </w:r>
        </w:p>
      </w:tc>
      <w:tc>
        <w:tcPr>
          <w:tcW w:w="264" w:type="dxa"/>
          <w:tcBorders/>
          <w:shd w:color="auto" w:fill="auto" w:val="clear"/>
          <w:vAlign w:val="center"/>
        </w:tcPr>
        <w:p>
          <w:pPr>
            <w:pStyle w:val="Rodap"/>
            <w:widowControl w:val="false"/>
            <w:spacing w:beforeAutospacing="0" w:before="0" w:afterAutospacing="0" w:after="0"/>
            <w:rPr>
              <w:rFonts w:cs="Arial"/>
              <w:b/>
              <w:b/>
              <w:bCs/>
              <w:sz w:val="18"/>
              <w:szCs w:val="18"/>
            </w:rPr>
          </w:pPr>
          <w:r>
            <w:rPr>
              <w:rFonts w:cs="Arial"/>
              <w:b/>
              <w:bCs/>
              <w:sz w:val="18"/>
              <w:szCs w:val="18"/>
            </w:rPr>
          </w:r>
        </w:p>
      </w:tc>
      <w:tc>
        <w:tcPr>
          <w:tcW w:w="1000" w:type="dxa"/>
          <w:tcBorders/>
          <w:shd w:color="auto" w:fill="auto" w:val="clear"/>
          <w:vAlign w:val="center"/>
        </w:tcPr>
        <w:p>
          <w:pPr>
            <w:pStyle w:val="Cabealho"/>
            <w:widowControl w:val="false"/>
            <w:spacing w:beforeAutospacing="0" w:before="0" w:afterAutospacing="0" w:after="0"/>
            <w:rPr>
              <w:rFonts w:cs="Arial"/>
              <w:b/>
              <w:b/>
              <w:bCs/>
              <w:sz w:val="18"/>
              <w:szCs w:val="18"/>
            </w:rPr>
          </w:pPr>
          <w:r>
            <w:rPr>
              <w:rFonts w:cs="Arial"/>
              <w:b/>
              <w:bCs/>
              <w:sz w:val="18"/>
              <w:szCs w:val="18"/>
            </w:rPr>
            <w:t>Ano</w:t>
          </w:r>
        </w:p>
        <w:p>
          <w:pPr>
            <w:pStyle w:val="Cabealho"/>
            <w:widowControl w:val="false"/>
            <w:spacing w:before="0" w:after="0"/>
            <w:rPr>
              <w:rFonts w:cs="Arial"/>
              <w:bCs/>
              <w:sz w:val="18"/>
              <w:szCs w:val="18"/>
            </w:rPr>
          </w:pPr>
          <w:r>
            <w:rPr>
              <w:rFonts w:cs="Arial"/>
              <w:bCs/>
              <w:sz w:val="18"/>
              <w:szCs w:val="18"/>
            </w:rPr>
          </w:r>
        </w:p>
        <w:p>
          <w:pPr>
            <w:pStyle w:val="Cabealho"/>
            <w:widowControl w:val="false"/>
            <w:spacing w:before="0" w:after="0"/>
            <w:rPr>
              <w:rFonts w:cs="Arial"/>
              <w:bCs/>
              <w:sz w:val="18"/>
              <w:szCs w:val="18"/>
            </w:rPr>
          </w:pPr>
          <w:r>
            <w:rPr>
              <w:rFonts w:cs="Arial"/>
              <w:bCs/>
              <w:sz w:val="18"/>
              <w:szCs w:val="18"/>
            </w:rPr>
            <w:t>2019</w:t>
          </w:r>
        </w:p>
      </w:tc>
      <w:tc>
        <w:tcPr>
          <w:tcW w:w="267" w:type="dxa"/>
          <w:tcBorders/>
          <w:shd w:color="auto" w:fill="auto" w:val="clear"/>
          <w:vAlign w:val="center"/>
        </w:tcPr>
        <w:p>
          <w:pPr>
            <w:pStyle w:val="Cabealho"/>
            <w:widowControl w:val="false"/>
            <w:spacing w:beforeAutospacing="0" w:before="0" w:afterAutospacing="0" w:after="0"/>
            <w:rPr>
              <w:rFonts w:cs="Arial"/>
              <w:b/>
              <w:b/>
              <w:bCs/>
              <w:sz w:val="18"/>
              <w:szCs w:val="18"/>
            </w:rPr>
          </w:pPr>
          <w:r>
            <w:rPr>
              <w:rFonts w:cs="Arial"/>
              <w:b/>
              <w:bCs/>
              <w:sz w:val="18"/>
              <w:szCs w:val="18"/>
            </w:rPr>
          </w:r>
        </w:p>
      </w:tc>
      <w:tc>
        <w:tcPr>
          <w:tcW w:w="954" w:type="dxa"/>
          <w:tcBorders/>
          <w:shd w:color="auto" w:fill="auto" w:val="clear"/>
          <w:vAlign w:val="center"/>
        </w:tcPr>
        <w:p>
          <w:pPr>
            <w:pStyle w:val="Rodap"/>
            <w:widowControl w:val="false"/>
            <w:spacing w:beforeAutospacing="0" w:before="0" w:afterAutospacing="0" w:after="0"/>
            <w:rPr>
              <w:rFonts w:cs="Arial"/>
              <w:b/>
              <w:b/>
              <w:bCs/>
              <w:sz w:val="18"/>
              <w:szCs w:val="18"/>
            </w:rPr>
          </w:pPr>
          <w:r>
            <w:rPr>
              <w:rFonts w:cs="Arial"/>
              <w:b/>
              <w:bCs/>
              <w:sz w:val="18"/>
              <w:szCs w:val="18"/>
            </w:rPr>
            <w:t>Página</w:t>
          </w:r>
        </w:p>
        <w:p>
          <w:pPr>
            <w:pStyle w:val="Rodap"/>
            <w:widowControl w:val="false"/>
            <w:spacing w:before="0" w:after="0"/>
            <w:rPr>
              <w:rFonts w:cs="Arial"/>
              <w:b/>
              <w:b/>
              <w:sz w:val="18"/>
              <w:szCs w:val="18"/>
            </w:rPr>
          </w:pPr>
          <w:r>
            <w:rPr>
              <w:rFonts w:cs="Arial"/>
              <w:b/>
              <w:sz w:val="18"/>
              <w:szCs w:val="18"/>
            </w:rPr>
          </w:r>
        </w:p>
        <w:p>
          <w:pPr>
            <w:pStyle w:val="Rodap"/>
            <w:widowControl w:val="false"/>
            <w:spacing w:before="0" w:after="0"/>
            <w:rPr>
              <w:rFonts w:cs="Arial"/>
              <w:b/>
              <w:b/>
              <w:sz w:val="18"/>
              <w:szCs w:val="18"/>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3</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3</w:t>
          </w:r>
          <w:r>
            <w:rPr>
              <w:sz w:val="18"/>
              <w:b/>
              <w:szCs w:val="18"/>
              <w:rFonts w:cs="Arial"/>
            </w:rPr>
            <w:fldChar w:fldCharType="end"/>
          </w:r>
        </w:p>
      </w:tc>
    </w:tr>
  </w:tbl>
  <w:p>
    <w:pPr>
      <w:pStyle w:val="Rodap"/>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630"/>
    </w:tblGrid>
    <w:tr>
      <w:trPr>
        <w:trHeight w:val="794" w:hRule="atLeast"/>
      </w:trPr>
      <w:tc>
        <w:tcPr>
          <w:tcW w:w="10630" w:type="dxa"/>
          <w:tcBorders>
            <w:top w:val="nil"/>
            <w:left w:val="nil"/>
            <w:bottom w:val="nil"/>
            <w:right w:val="nil"/>
          </w:tcBorders>
          <w:shd w:color="auto" w:fill="auto" w:val="clear"/>
          <w:vAlign w:val="center"/>
        </w:tcPr>
        <w:p>
          <w:pPr>
            <w:pStyle w:val="Rodap"/>
            <w:widowControl w:val="false"/>
            <w:suppressAutoHyphens w:val="true"/>
            <w:spacing w:before="0" w:after="280"/>
            <w:rPr>
              <w:b/>
              <w:b/>
              <w:bCs/>
            </w:rPr>
          </w:pPr>
          <w:r>
            <w:rPr>
              <w:rFonts w:eastAsia="Calibri" w:cs="Arial"/>
              <w:b/>
              <w:bCs/>
              <w:kern w:val="0"/>
              <w:sz w:val="20"/>
              <w:szCs w:val="22"/>
              <w:lang w:val="pt-BR" w:eastAsia="en-US" w:bidi="ar-SA"/>
            </w:rPr>
            <w:t>Relatório de Análise de Dados</w:t>
          </w:r>
        </w:p>
        <w:p>
          <w:pPr>
            <w:pStyle w:val="Rodap"/>
            <w:widowControl w:val="false"/>
            <w:suppressAutoHyphens w:val="true"/>
            <w:spacing w:before="280" w:after="0"/>
            <w:rPr>
              <w:rFonts w:eastAsia="Calibri" w:cs="Arial"/>
              <w:kern w:val="0"/>
              <w:sz w:val="20"/>
              <w:szCs w:val="22"/>
              <w:lang w:val="pt-BR" w:eastAsia="en-US" w:bidi="ar-SA"/>
            </w:rPr>
          </w:pPr>
          <w:r>
            <w:rPr>
              <w:rFonts w:eastAsia="Calibri" w:cs="Arial"/>
              <w:kern w:val="0"/>
              <w:sz w:val="20"/>
              <w:szCs w:val="22"/>
              <w:lang w:val="pt-BR" w:eastAsia="en-US" w:bidi="ar-SA"/>
            </w:rPr>
            <w:t>Consultoria de Bioestatística</w:t>
          </w:r>
        </w:p>
      </w:tc>
    </w:tr>
    <w:tr>
      <w:trPr>
        <w:trHeight w:val="170" w:hRule="atLeast"/>
      </w:trPr>
      <w:tc>
        <w:tcPr>
          <w:tcW w:w="10630" w:type="dxa"/>
          <w:tcBorders>
            <w:top w:val="nil"/>
            <w:left w:val="nil"/>
            <w:bottom w:val="nil"/>
            <w:right w:val="nil"/>
          </w:tcBorders>
          <w:shd w:color="auto" w:fill="auto" w:val="clear"/>
          <w:vAlign w:val="center"/>
        </w:tcPr>
        <w:p>
          <w:pPr>
            <w:pStyle w:val="Rodap"/>
            <w:widowControl w:val="false"/>
            <w:suppressAutoHyphens w:val="true"/>
            <w:spacing w:before="0" w:after="0"/>
            <w:rPr>
              <w:sz w:val="18"/>
              <w:szCs w:val="18"/>
            </w:rPr>
          </w:pPr>
          <w:r>
            <w:rPr>
              <w:sz w:val="18"/>
              <w:szCs w:val="18"/>
            </w:rPr>
          </w:r>
        </w:p>
      </w:tc>
    </w:tr>
    <w:tr>
      <w:trPr>
        <w:trHeight w:val="227" w:hRule="atLeast"/>
      </w:trPr>
      <w:tc>
        <w:tcPr>
          <w:tcW w:w="10630" w:type="dxa"/>
          <w:tcBorders>
            <w:top w:val="nil"/>
            <w:left w:val="nil"/>
            <w:bottom w:val="nil"/>
            <w:right w:val="nil"/>
          </w:tcBorders>
          <w:shd w:color="auto" w:fill="auto" w:val="clear"/>
          <w:vAlign w:val="center"/>
        </w:tcPr>
        <w:p>
          <w:pPr>
            <w:pStyle w:val="Rodap"/>
            <w:widowControl w:val="false"/>
            <w:suppressAutoHyphens w:val="true"/>
            <w:spacing w:before="0" w:after="0"/>
            <w:rPr>
              <w:b/>
              <w:b/>
              <w:bCs/>
            </w:rPr>
          </w:pPr>
          <w:r>
            <w:rPr>
              <w:rFonts w:eastAsia="Calibri" w:cs="Arial"/>
              <w:b/>
              <w:bCs/>
              <w:kern w:val="0"/>
              <w:sz w:val="20"/>
              <w:szCs w:val="22"/>
              <w:lang w:val="pt-BR" w:eastAsia="en-US" w:bidi="ar-SA"/>
            </w:rPr>
            <w:t>https://github.com/philsf-biostat/analise_dados_VL_2019a</w:t>
          </w:r>
        </w:p>
      </w:tc>
    </w:tr>
  </w:tbl>
  <w:sdt>
    <w:sdtPr>
      <w:docPartObj>
        <w:docPartGallery w:val="Watermarks"/>
        <w:docPartUnique w:val="true"/>
      </w:docPartObj>
      <w:id w:val="789935088"/>
    </w:sdtPr>
    <w:sdtContent>
      <w:p>
        <w:pPr>
          <w:pStyle w:val="Normal"/>
          <w:spacing w:lineRule="auto" w:line="240" w:beforeAutospacing="0" w:before="280" w:afterAutospacing="0" w:after="280"/>
          <w:jc w:val="center"/>
          <w:rPr/>
        </w:pPr>
        <w:r>
          <w:rPr/>
          <mc:AlternateContent>
            <mc:Choice Requires="wps">
              <w:drawing>
                <wp:anchor behindDoc="1" distT="0" distB="0" distL="0" distR="0" simplePos="0" locked="0" layoutInCell="0" allowOverlap="1" relativeHeight="5" wp14:anchorId="5734C2DC">
                  <wp:simplePos x="0" y="0"/>
                  <wp:positionH relativeFrom="column">
                    <wp:posOffset>0</wp:posOffset>
                  </wp:positionH>
                  <wp:positionV relativeFrom="paragraph">
                    <wp:posOffset>635</wp:posOffset>
                  </wp:positionV>
                  <wp:extent cx="636905" cy="636905"/>
                  <wp:effectExtent l="9525" t="9525" r="12700" b="12700"/>
                  <wp:wrapNone/>
                  <wp:docPr id="3" name="shapetype_136" hidden="1"/>
                  <a:graphic xmlns:a="http://schemas.openxmlformats.org/drawingml/2006/main">
                    <a:graphicData uri="http://schemas.microsoft.com/office/word/2010/wordprocessingShape">
                      <wps:wsp>
                        <wps:cNvSpPr/>
                        <wps:spPr>
                          <a:xfrm>
                            <a:off x="0" y="0"/>
                            <a:ext cx="636120" cy="636120"/>
                          </a:xfrm>
                          <a:custGeom>
                            <a:avLst/>
                            <a:gdLst/>
                            <a:ahLst/>
                            <a:rect l="l" t="t" r="r" b="b"/>
                            <a:pathLst>
                              <a:path w="21600" h="21600">
                                <a:moveTo>
                                  <a:pt x="0" y="0"/>
                                </a:moveTo>
                                <a:lnTo>
                                  <a:pt x="21600" y="0"/>
                                </a:lnTo>
                                <a:moveTo>
                                  <a:pt x="0" y="21600"/>
                                </a:moveTo>
                                <a:lnTo>
                                  <a:pt x="21600" y="21600"/>
                                </a:lnTo>
                              </a:path>
                            </a:pathLst>
                          </a:custGeom>
                          <a:solidFill>
                            <a:srgbClr val="ffffff"/>
                          </a:solidFill>
                          <a:ln w="9525">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inline distT="0" distB="0" distL="0" distR="0" wp14:anchorId="70905255">
                  <wp:extent cx="6755130" cy="24130"/>
                  <wp:effectExtent l="0" t="0" r="0" b="0"/>
                  <wp:docPr id="4" name="Forma4"/>
                  <a:graphic xmlns:a="http://schemas.openxmlformats.org/drawingml/2006/main">
                    <a:graphicData uri="http://schemas.microsoft.com/office/word/2010/wordprocessingShape">
                      <wps:wsp>
                        <wps:cNvSpPr/>
                        <wps:spPr>
                          <a:xfrm>
                            <a:off x="0" y="0"/>
                            <a:ext cx="6754320" cy="234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4" path="m0,0l-2147483645,0l-2147483645,-2147483646l0,-2147483646xe" fillcolor="#a0a0a0" stroked="f" style="position:absolute;margin-left:0pt;margin-top:-1.9pt;width:531.8pt;height:1.8pt;mso-wrap-style:none;v-text-anchor:middle;mso-position-vertical:top" wp14:anchorId="70905255">
                  <v:fill o:detectmouseclick="t" type="solid" color2="#5f5f5f"/>
                  <v:stroke color="#3465a4" joinstyle="round" endcap="flat"/>
                  <w10:wrap type="square"/>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59.75pt;margin-top:258.5pt;width:412pt;height:87.35pt;mso-wrap-style:none;v-text-anchor:middle;rotation:315;mso-position-horizontal:center;mso-position-vertical:center;mso-position-vertical-relative:margin" type="shapetype_136">
              <v:path textpathok="t"/>
              <v:textpath on="t" fitshape="t" string="RASCUNHO" trim="t" style="font-family:&quot;calibri&quot;;font-size:1pt"/>
              <v:fill o:detectmouseclick="t" type="solid" color2="#3f3f3f" opacity="0.5"/>
              <v:stroke color="#3465a4" joinstyle="round" endcap="flat"/>
              <w10:wrap type="none"/>
            </v:shape>
          </w:pic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Arial"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ＭＳ ゴシック" w:cs="Times New Roman"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ＭＳ ゴシック" w:cs="Times New Roman"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ＭＳ ゴシック" w:cs="Times New Roman"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ＭＳ ゴシック" w:cs="Times New Roman"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ＭＳ ゴシック" w:cs="Times New Roman"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ＭＳ ゴシック" w:cs="Times New Roman"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ＭＳ ゴシック" w:cs="Times New Roman"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ＭＳ ゴシック" w:cs="Times New Roman"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ＭＳ ゴシック" w:cs="Times New Roman"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ＭＳ ゴシック" w:cs="Times New Roman"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ＭＳ ゴシック" w:cs="Times New Roman"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ＭＳ ゴシック" w:cs="Times New Roman"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ＭＳ ゴシック" w:cs="Times New Roman"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ＭＳ ゴシック" w:cs="Times New Roman"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ＭＳ ゴシック" w:cs="Times New Roman"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ＭＳ ゴシック" w:cs="Times New Roman"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ＭＳ ゴシック" w:cs="Times New Roman"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ＭＳ ゴシック" w:cs="Times New Roman" w:cstheme="majorBidi" w:eastAsiaTheme="majorEastAsia"/>
      <w:i/>
      <w:iCs/>
      <w:color w:val="272727" w:themeColor="text1" w:themeTint="d8"/>
      <w:sz w:val="21"/>
      <w:szCs w:val="21"/>
    </w:rPr>
  </w:style>
  <w:style w:type="character" w:styleId="LinkdaInternet" w:customStyle="1">
    <w:name w:val="Link da Internet"/>
    <w:basedOn w:val="DefaultParagraphFont"/>
    <w:uiPriority w:val="99"/>
    <w:unhideWhenUsed/>
    <w:rsid w:val="00ba3afa"/>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ＭＳ ゴシック" w:cs="Times New Roman"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ＭＳ 明朝"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Vnculodendice" w:customStyle="1">
    <w:name w:val="Vínculo de índice"/>
    <w:qFormat/>
    <w:rPr/>
  </w:style>
  <w:style w:type="character" w:styleId="KeywordTok" w:customStyle="1">
    <w:name w:val="KeywordTok"/>
    <w:qFormat/>
    <w:rPr>
      <w:b/>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b/>
      <w:i/>
      <w:color w:val="8F5902"/>
      <w:shd w:fill="F8F8F8" w:val="clear"/>
    </w:rPr>
  </w:style>
  <w:style w:type="character" w:styleId="AnnotationTok" w:customStyle="1">
    <w:name w:val="AnnotationTok"/>
    <w:qFormat/>
    <w:rPr>
      <w:b/>
      <w:i/>
      <w:color w:val="8F5902"/>
      <w:shd w:fill="F8F8F8" w:val="clear"/>
    </w:rPr>
  </w:style>
  <w:style w:type="character" w:styleId="CommentVarTok" w:customStyle="1">
    <w:name w:val="CommentVarTok"/>
    <w:qFormat/>
    <w:rPr>
      <w:b/>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b/>
      <w:color w:val="204A87"/>
      <w:shd w:fill="F8F8F8" w:val="clear"/>
    </w:rPr>
  </w:style>
  <w:style w:type="character" w:styleId="OperatorTok" w:customStyle="1">
    <w:name w:val="OperatorTok"/>
    <w:qFormat/>
    <w:rPr>
      <w:b/>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b/>
      <w:i/>
      <w:color w:val="8F5902"/>
      <w:shd w:fill="F8F8F8" w:val="clear"/>
    </w:rPr>
  </w:style>
  <w:style w:type="character" w:styleId="WarningTok" w:customStyle="1">
    <w:name w:val="WarningTok"/>
    <w:qFormat/>
    <w:rPr>
      <w:b/>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b/>
      <w:color w:val="A40000"/>
      <w:shd w:fill="F8F8F8" w:val="clear"/>
    </w:rPr>
  </w:style>
  <w:style w:type="character" w:styleId="NormalTok" w:customStyle="1">
    <w:name w:val="NormalTok"/>
    <w:qFormat/>
    <w:rPr>
      <w:shd w:fill="F8F8F8" w:val="clea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ＭＳ ゴシック" w:cs="Times New Roman"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customStyle="1">
    <w:name w:val="Cabeçalho e Rodapé"/>
    <w:basedOn w:val="Normal"/>
    <w:qFormat/>
    <w:pPr/>
    <w:rPr/>
  </w:style>
  <w:style w:type="paragraph" w:styleId="Cabealho">
    <w:name w:val="Header"/>
    <w:basedOn w:val="Normal"/>
    <w:link w:val="CabealhoChar"/>
    <w:uiPriority w:val="99"/>
    <w:unhideWhenUsed/>
    <w:rsid w:val="004e6bd2"/>
    <w:pPr>
      <w:tabs>
        <w:tab w:val="clear" w:pos="720"/>
        <w:tab w:val="center" w:pos="4252" w:leader="none"/>
        <w:tab w:val="right" w:pos="8504" w:leader="none"/>
      </w:tabs>
      <w:spacing w:lineRule="auto" w:line="240"/>
      <w:jc w:val="center"/>
    </w:pPr>
    <w:rPr/>
  </w:style>
  <w:style w:type="paragraph" w:styleId="Rodap">
    <w:name w:val="Footer"/>
    <w:basedOn w:val="Normal"/>
    <w:link w:val="RodapChar"/>
    <w:uiPriority w:val="99"/>
    <w:unhideWhenUsed/>
    <w:rsid w:val="004e6bd2"/>
    <w:pPr>
      <w:tabs>
        <w:tab w:val="clear" w:pos="720"/>
        <w:tab w:val="center" w:pos="4252" w:leader="none"/>
        <w:tab w:val="right" w:pos="8504" w:leader="none"/>
      </w:tabs>
      <w:spacing w:lineRule="auto" w:line="240"/>
      <w:jc w:val="center"/>
    </w:pPr>
    <w:rPr/>
  </w:style>
  <w:style w:type="paragraph" w:styleId="Subttulo">
    <w:name w:val="Subtitle"/>
    <w:basedOn w:val="Normal"/>
    <w:next w:val="Normal"/>
    <w:link w:val="SubttuloChar"/>
    <w:qFormat/>
    <w:rsid w:val="00be194b"/>
    <w:pPr>
      <w:spacing w:lineRule="auto" w:line="252"/>
      <w:jc w:val="center"/>
    </w:pPr>
    <w:rPr>
      <w:rFonts w:eastAsia="ＭＳ 明朝" w:eastAsiaTheme="minorEastAsia"/>
      <w:b/>
      <w:spacing w:val="15"/>
    </w:rPr>
  </w:style>
  <w:style w:type="paragraph" w:styleId="Date">
    <w:name w:val="Date"/>
    <w:basedOn w:val="Normal"/>
    <w:next w:val="Normal"/>
    <w:link w:val="DataChar"/>
    <w:unhideWhenUsed/>
    <w:qFormat/>
    <w:rsid w:val="00be194b"/>
    <w:pPr>
      <w:spacing w:lineRule="auto" w:line="240" w:before="0" w:after="0"/>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160"/>
      <w:jc w:val="center"/>
    </w:pPr>
    <w:rPr>
      <w:rFonts w:ascii="Arial" w:hAnsi="Arial" w:eastAsia="Calibri" w:cs="Arial"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SourceCode" w:customStyle="1">
    <w:name w:val="Source Code"/>
    <w:basedOn w:val="Normal"/>
    <w:qFormat/>
    <w:pPr>
      <w:shd w:val="clear" w:color="auto" w:fill="F8F8F8"/>
    </w:pPr>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Ttulodosumrio">
    <w:name w:val="TOA Heading"/>
    <w:basedOn w:val="Ttulodondicealfabtico"/>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SimplesTabela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3c1faa"/>
    <w:tblPr>
      <w:tblStyleRowBandSize w:val="1"/>
      <w:tblStyleColBandSize w:val="1"/>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NormalTable0">
    <w:name w:val="Normal Table0"/>
    <w:basedOn w:val="Tabelaprofissional"/>
    <w:uiPriority w:val="99"/>
    <w:rsid w:val="000c686b"/>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76330e8-5349-4318-97ad-dc99bd94dcad}"/>
      </w:docPartPr>
      <w:docPartBody>
        <w:p w14:paraId="1218E852">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LibreOffice/7.1.5.2$Linux_X86_64 LibreOffice_project/10$Build-2</Application>
  <AppVersion>15.0000</AppVersion>
  <Pages>3</Pages>
  <Words>540</Words>
  <Characters>2983</Characters>
  <CharactersWithSpaces>3404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2021-08-21T02:24:00Z</dcterms:created>
  <dc:creator>De: Felipe Figueiredo Para: Victor Lima</dc:creator>
  <dc:description/>
  <dc:language>pt-BR</dc:language>
  <cp:lastModifiedBy>Felipe Figueiredo</cp:lastModifiedBy>
  <dcterms:modified xsi:type="dcterms:W3CDTF">2021-08-20T23:34:58Z</dcterms:modified>
  <cp:revision>6</cp:revision>
  <dc:subject/>
  <dc:title>Eficácia do Ácido tranexâmico na redução de edema em cirurgias plásticas de face: projeto piloto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2020-02-04</vt:lpwstr>
  </property>
  <property fmtid="{D5CDD505-2E9C-101B-9397-08002B2CF9AE}" pid="3" name="output">
    <vt:lpwstr/>
  </property>
  <property fmtid="{D5CDD505-2E9C-101B-9397-08002B2CF9AE}" pid="4" name="subtitle">
    <vt:lpwstr>DOCUMENTO: analise_dados_VL_2019-v01a</vt:lpwstr>
  </property>
  <property fmtid="{D5CDD505-2E9C-101B-9397-08002B2CF9AE}" pid="5" name="toc-title">
    <vt:lpwstr>Sumário</vt:lpwstr>
  </property>
</Properties>
</file>