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Plano Analítico de Análise estatística de estudo de carpectomias comparando vias de acesso dorsal e volar</w:t>
      </w:r>
    </w:p>
    <w:p>
      <w:pPr>
        <w:pStyle w:val="Subttulo"/>
        <w:rPr/>
      </w:pPr>
      <w:r>
        <w:rPr/>
        <w:t>DOCUMENTO: SAP-2020-001-DM-v01</w:t>
      </w:r>
    </w:p>
    <w:p>
      <w:pPr>
        <w:pStyle w:val="Author"/>
        <w:rPr/>
      </w:pPr>
      <w:r>
        <w:rPr>
          <w:b/>
          <w:bCs/>
        </w:rPr>
        <w:t>De:</w:t>
      </w:r>
      <w:r>
        <w:rPr/>
        <w:t xml:space="preserve"> Felipe Figueiredo </w:t>
      </w:r>
      <w:r>
        <w:rPr>
          <w:b/>
          <w:bCs/>
        </w:rPr>
        <w:t>Para:</w:t>
      </w:r>
      <w:r>
        <w:rPr/>
        <w:t xml:space="preserve"> Diego Rezende Martins</w:t>
      </w:r>
    </w:p>
    <w:p>
      <w:pPr>
        <w:pStyle w:val="Date"/>
        <w:rPr/>
      </w:pPr>
      <w:r>
        <w:rPr>
          <w:b/>
          <w:bCs/>
        </w:rPr>
        <w:t>Data:</w:t>
      </w:r>
      <w:r>
        <w:rPr/>
        <w:t xml:space="preserve"> 07/01/2021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12969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2971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2  Introdução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973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2.1  Contexto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975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2.2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977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2.3  Hipóteses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2979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3  Limpeza dos dados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2981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4  Variáveis do estudo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983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4.1  Desfechos primário e secundários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985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4.2  Covariáveis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2987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  Métodos estatísticos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989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5.1  Análises estatísticas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2991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5.1.1  Análise descritiva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2993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5.1.2  Análise inferencial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995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5.2  Significância e Intervalos de Confiança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997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5.3  Tamanho da amostra e Poder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999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5.4  Softwares utilizados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3001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6  Referências</w:t>
              <w:tab/>
              <w:t>6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3003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7  Apêndice</w:t>
              <w:tab/>
              <w:t>6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3005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7.1  Disponibilidade</w:t>
              <w:tab/>
              <w:t>6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1400" cy="2032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style="position:absolute;margin-left:0pt;margin-top:-1.6pt;width:481.9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Histórico do documento</w:t>
      </w:r>
    </w:p>
    <w:tbl>
      <w:tblPr>
        <w:tblStyle w:val="Table"/>
        <w:tblW w:w="232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872"/>
        <w:gridCol w:w="1448"/>
      </w:tblGrid>
      <w:tr>
        <w:trPr/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Versão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Alterações</w:t>
            </w:r>
          </w:p>
        </w:tc>
      </w:tr>
      <w:tr>
        <w:trPr/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01</w:t>
            </w:r>
          </w:p>
        </w:tc>
        <w:tc>
          <w:tcPr>
            <w:tcW w:w="1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Versão inicial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style="position:absolute;margin-left:0pt;margin-top:-1.6pt;width:0.05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/>
      </w:pPr>
      <w:bookmarkStart w:id="0" w:name="__RefHeading___Toc12969_3199744553"/>
      <w:bookmarkEnd w:id="0"/>
      <w:r>
        <w:rPr/>
        <w:t>Lista de abreviaturas</w:t>
      </w:r>
    </w:p>
    <w:p>
      <w:pPr>
        <w:pStyle w:val="Compact"/>
        <w:numPr>
          <w:ilvl w:val="0"/>
          <w:numId w:val="2"/>
        </w:numPr>
        <w:rPr/>
      </w:pPr>
      <w:r>
        <w:rPr/>
        <w:t>DM: Diabetes mellitus</w:t>
      </w:r>
    </w:p>
    <w:p>
      <w:pPr>
        <w:pStyle w:val="Compact"/>
        <w:numPr>
          <w:ilvl w:val="0"/>
          <w:numId w:val="2"/>
        </w:numPr>
        <w:rPr/>
      </w:pPr>
      <w:r>
        <w:rPr/>
        <w:t>EVD:</w:t>
      </w:r>
    </w:p>
    <w:p>
      <w:pPr>
        <w:pStyle w:val="Compact"/>
        <w:numPr>
          <w:ilvl w:val="0"/>
          <w:numId w:val="2"/>
        </w:numPr>
        <w:rPr/>
      </w:pPr>
      <w:r>
        <w:rPr/>
        <w:t>HAS: Hipertensão arterial sistêmica</w:t>
      </w:r>
    </w:p>
    <w:p>
      <w:pPr>
        <w:pStyle w:val="Compact"/>
        <w:numPr>
          <w:ilvl w:val="0"/>
          <w:numId w:val="2"/>
        </w:numPr>
        <w:rPr/>
      </w:pPr>
      <w:r>
        <w:rPr/>
        <w:t>HT: Hipotireoidismo</w:t>
      </w:r>
    </w:p>
    <w:p>
      <w:pPr>
        <w:pStyle w:val="Compact"/>
        <w:numPr>
          <w:ilvl w:val="0"/>
          <w:numId w:val="2"/>
        </w:numPr>
        <w:rPr/>
      </w:pPr>
      <w:r>
        <w:rPr/>
        <w:t>IVC:</w:t>
      </w:r>
      <w:bookmarkStart w:id="1" w:name="lista-de-abreviaturas"/>
      <w:bookmarkEnd w:id="1"/>
    </w:p>
    <w:p>
      <w:pPr>
        <w:pStyle w:val="Ttulo1"/>
        <w:rPr/>
      </w:pPr>
      <w:bookmarkStart w:id="2" w:name="__RefHeading___Toc12971_3199744553"/>
      <w:bookmarkEnd w:id="2"/>
      <w:r>
        <w:rPr/>
        <w:t>Introdução</w:t>
      </w:r>
    </w:p>
    <w:p>
      <w:pPr>
        <w:pStyle w:val="Ttulo2"/>
        <w:rPr/>
      </w:pPr>
      <w:bookmarkStart w:id="3" w:name="__RefHeading___Toc12973_3199744553"/>
      <w:bookmarkEnd w:id="3"/>
      <w:r>
        <w:rPr/>
        <w:t>Contexto</w:t>
      </w:r>
      <w:bookmarkStart w:id="4" w:name="contexto"/>
      <w:bookmarkEnd w:id="4"/>
    </w:p>
    <w:p>
      <w:pPr>
        <w:pStyle w:val="Ttulo2"/>
        <w:rPr/>
      </w:pPr>
      <w:bookmarkStart w:id="5" w:name="__RefHeading___Toc12975_3199744553"/>
      <w:bookmarkEnd w:id="5"/>
      <w:r>
        <w:rPr/>
        <w:t>Objetivos</w:t>
      </w:r>
    </w:p>
    <w:p>
      <w:pPr>
        <w:pStyle w:val="FirstParagraph"/>
        <w:rPr/>
      </w:pPr>
      <w:r>
        <w:rPr/>
        <w:t>Avaliar se há diferença entre uso de das técnicas de acesso cirúrgico volar e dorsal em indicadores clínicos.</w:t>
      </w:r>
      <w:bookmarkStart w:id="6" w:name="objetivos"/>
      <w:bookmarkEnd w:id="6"/>
    </w:p>
    <w:p>
      <w:pPr>
        <w:pStyle w:val="Ttulo2"/>
        <w:rPr/>
      </w:pPr>
      <w:bookmarkStart w:id="7" w:name="__RefHeading___Toc12977_3199744553"/>
      <w:bookmarkEnd w:id="7"/>
      <w:r>
        <w:rPr/>
        <w:t>Hipóteses</w:t>
      </w:r>
      <w:bookmarkStart w:id="8" w:name="hipóteses"/>
      <w:bookmarkStart w:id="9" w:name="introdução"/>
      <w:bookmarkEnd w:id="8"/>
      <w:bookmarkEnd w:id="9"/>
    </w:p>
    <w:p>
      <w:pPr>
        <w:pStyle w:val="Ttulo1"/>
        <w:rPr/>
      </w:pPr>
      <w:bookmarkStart w:id="10" w:name="__RefHeading___Toc12979_3199744553"/>
      <w:bookmarkEnd w:id="10"/>
      <w:r>
        <w:rPr/>
        <w:t>Limpeza dos dados</w:t>
      </w:r>
    </w:p>
    <w:p>
      <w:pPr>
        <w:pStyle w:val="FirstParagraph"/>
        <w:rPr/>
      </w:pPr>
      <w:r>
        <w:rPr/>
        <w:t>Os dados recebidos serão reorganizados em uma tabela retangular, agrupando todos os casos em linhas com uma coluna por variável. A coluna ID será redefinida de modo que haja um ID único para cada participante incluído no estudo, independente do grupo. Com isso, a tabela de dados analíticos apresentará uma linha para cada observação das variáveis, i.e., cada um dos vinte participantes incluídos no estudo.</w:t>
      </w:r>
    </w:p>
    <w:p>
      <w:pPr>
        <w:pStyle w:val="Corpodotexto"/>
        <w:rPr/>
      </w:pPr>
      <w:r>
        <w:rPr/>
        <w:t>As seguintes novas variáveis serão criadas a partir para a análise:</w:t>
      </w:r>
    </w:p>
    <w:p>
      <w:pPr>
        <w:pStyle w:val="Compact"/>
        <w:numPr>
          <w:ilvl w:val="0"/>
          <w:numId w:val="34"/>
        </w:numPr>
        <w:rPr/>
      </w:pPr>
      <w:r>
        <w:rPr>
          <w:b/>
          <w:bCs/>
        </w:rPr>
        <w:t>EVD dif:</w:t>
      </w:r>
      <w:r>
        <w:rPr/>
        <w:t xml:space="preserve"> diferença entre EVD pré e pós (numérica)</w:t>
      </w:r>
    </w:p>
    <w:p>
      <w:pPr>
        <w:pStyle w:val="Compact"/>
        <w:numPr>
          <w:ilvl w:val="0"/>
          <w:numId w:val="35"/>
        </w:numPr>
        <w:rPr/>
      </w:pPr>
      <w:r>
        <w:rPr>
          <w:b/>
          <w:bCs/>
        </w:rPr>
        <w:t>Dominante:</w:t>
      </w:r>
      <w:r>
        <w:rPr/>
        <w:t xml:space="preserve"> se o lado acometido era o lado dominante do participante (dicotômica)</w:t>
      </w:r>
    </w:p>
    <w:p>
      <w:pPr>
        <w:pStyle w:val="FirstParagraph"/>
        <w:rPr/>
      </w:pPr>
      <w:r>
        <w:rPr/>
        <w:t>As seguintes variáveis serão limpas para adequação nas análises:</w:t>
      </w:r>
    </w:p>
    <w:p>
      <w:pPr>
        <w:pStyle w:val="Compact"/>
        <w:numPr>
          <w:ilvl w:val="0"/>
          <w:numId w:val="36"/>
        </w:numPr>
        <w:rPr/>
      </w:pPr>
      <w:r>
        <w:rPr>
          <w:b/>
          <w:bCs/>
        </w:rPr>
        <w:t>Tempo artrose:</w:t>
      </w:r>
      <w:r>
        <w:rPr/>
        <w:t xml:space="preserve"> convertida em valores numéricos</w:t>
      </w:r>
    </w:p>
    <w:p>
      <w:pPr>
        <w:pStyle w:val="Compact"/>
        <w:numPr>
          <w:ilvl w:val="1"/>
          <w:numId w:val="37"/>
        </w:numPr>
        <w:rPr/>
      </w:pPr>
      <w:r>
        <w:rPr/>
        <w:t>valores possíveis: número (anos) ou célula vazia</w:t>
      </w:r>
    </w:p>
    <w:p>
      <w:pPr>
        <w:pStyle w:val="Compact"/>
        <w:numPr>
          <w:ilvl w:val="0"/>
          <w:numId w:val="38"/>
        </w:numPr>
        <w:rPr/>
      </w:pPr>
      <w:r>
        <w:rPr>
          <w:b/>
          <w:bCs/>
        </w:rPr>
        <w:t>Comorbidades:</w:t>
      </w:r>
      <w:r>
        <w:rPr/>
        <w:t xml:space="preserve"> redefinidas como variáveis dicotômicas</w:t>
      </w:r>
    </w:p>
    <w:p>
      <w:pPr>
        <w:pStyle w:val="Compact"/>
        <w:numPr>
          <w:ilvl w:val="1"/>
          <w:numId w:val="39"/>
        </w:numPr>
        <w:rPr/>
      </w:pPr>
      <w:r>
        <w:rPr/>
        <w:t>reorganizadas em colunas independentes</w:t>
      </w:r>
    </w:p>
    <w:p>
      <w:pPr>
        <w:pStyle w:val="Compact"/>
        <w:numPr>
          <w:ilvl w:val="1"/>
          <w:numId w:val="40"/>
        </w:numPr>
        <w:rPr/>
      </w:pPr>
      <w:r>
        <w:rPr/>
        <w:t>valores possíveis: nome da comorbidade ou célula vazia</w:t>
      </w:r>
    </w:p>
    <w:p>
      <w:pPr>
        <w:pStyle w:val="Compact"/>
        <w:numPr>
          <w:ilvl w:val="0"/>
          <w:numId w:val="41"/>
        </w:numPr>
        <w:rPr/>
      </w:pPr>
      <w:r>
        <w:rPr>
          <w:b/>
          <w:bCs/>
        </w:rPr>
        <w:t>Retorno:</w:t>
      </w:r>
      <w:r>
        <w:rPr/>
        <w:t xml:space="preserve"> Esta coluna é repetida em todas as quatro planilhas</w:t>
      </w:r>
    </w:p>
    <w:p>
      <w:pPr>
        <w:pStyle w:val="Compact"/>
        <w:numPr>
          <w:ilvl w:val="1"/>
          <w:numId w:val="42"/>
        </w:numPr>
        <w:rPr/>
      </w:pPr>
      <w:r>
        <w:rPr/>
        <w:t>serão utilizados as duas primeiras ocorrências deste dado:</w:t>
      </w:r>
    </w:p>
    <w:p>
      <w:pPr>
        <w:pStyle w:val="Compact"/>
        <w:numPr>
          <w:ilvl w:val="2"/>
          <w:numId w:val="43"/>
        </w:numPr>
        <w:rPr/>
      </w:pPr>
      <w:r>
        <w:rPr/>
        <w:t>Folha 1 - Tabela 1 - Volar</w:t>
      </w:r>
    </w:p>
    <w:p>
      <w:pPr>
        <w:pStyle w:val="Compact"/>
        <w:numPr>
          <w:ilvl w:val="2"/>
          <w:numId w:val="44"/>
        </w:numPr>
        <w:rPr/>
      </w:pPr>
      <w:r>
        <w:rPr/>
        <w:t>Folha 1 - Tabela 2 - Dorsal</w:t>
      </w:r>
    </w:p>
    <w:p>
      <w:pPr>
        <w:pStyle w:val="FirstParagraph"/>
        <w:rPr/>
      </w:pPr>
      <w:r>
        <w:rPr/>
        <w:t>A tabela de dados analíticos será criada de acordo com a seguinte estrutura da Tabela 1.</w:t>
      </w:r>
    </w:p>
    <w:p>
      <w:pPr>
        <w:pStyle w:val="TableCaption"/>
        <w:rPr/>
      </w:pPr>
      <w:r>
        <w:rPr>
          <w:b/>
          <w:bCs/>
        </w:rPr>
        <w:t>Tabela 1</w:t>
      </w:r>
      <w:r>
        <w:rPr/>
        <w:t xml:space="preserve"> Estrutura da nova tabela de dados analíticos</w:t>
      </w:r>
    </w:p>
    <w:tbl>
      <w:tblPr>
        <w:tblStyle w:val="Table"/>
        <w:tblW w:w="954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31"/>
        <w:gridCol w:w="630"/>
        <w:gridCol w:w="532"/>
        <w:gridCol w:w="630"/>
        <w:gridCol w:w="831"/>
        <w:gridCol w:w="831"/>
        <w:gridCol w:w="831"/>
        <w:gridCol w:w="1532"/>
        <w:gridCol w:w="1530"/>
        <w:gridCol w:w="1031"/>
        <w:gridCol w:w="830"/>
      </w:tblGrid>
      <w:tr>
        <w:trPr/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Idade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Sexo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Grupo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EVD Pré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EVD Pós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EVD dif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Lado dominante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Lado acometido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Dominante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Artrose</w:t>
            </w:r>
          </w:p>
        </w:tc>
      </w:tr>
      <w:tr>
        <w:trPr/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</w:tr>
      <w:tr>
        <w:trPr/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</w:tr>
      <w:tr>
        <w:trPr/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</w:tr>
      <w:tr>
        <w:trPr/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…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</w:tr>
      <w:tr>
        <w:trPr/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</w:tr>
    </w:tbl>
    <w:p>
      <w:pPr>
        <w:pStyle w:val="Corpodotexto"/>
        <w:rPr/>
      </w:pPr>
      <w:r>
        <w:rPr/>
        <w:t>As colunas de comorbidades serão acrescentadas à tabela de dados, seguindo a estrutura apresentada na Tabela 2.</w:t>
      </w:r>
    </w:p>
    <w:p>
      <w:pPr>
        <w:pStyle w:val="TableCaption"/>
        <w:rPr/>
      </w:pPr>
      <w:r>
        <w:rPr>
          <w:b/>
          <w:bCs/>
        </w:rPr>
        <w:t>Tabela 2</w:t>
      </w:r>
      <w:r>
        <w:rPr/>
        <w:t xml:space="preserve"> Representação das comorbidades na tabela de dados analíticos</w:t>
      </w:r>
    </w:p>
    <w:tbl>
      <w:tblPr>
        <w:tblStyle w:val="Table"/>
        <w:tblW w:w="841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31"/>
        <w:gridCol w:w="2031"/>
        <w:gridCol w:w="1430"/>
        <w:gridCol w:w="1232"/>
        <w:gridCol w:w="831"/>
        <w:gridCol w:w="430"/>
        <w:gridCol w:w="331"/>
        <w:gridCol w:w="1032"/>
        <w:gridCol w:w="331"/>
        <w:gridCol w:w="430"/>
      </w:tblGrid>
      <w:tr>
        <w:trPr/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ID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(colunas tabela 1…)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Tempo artrose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Statisfação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Retorno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HAS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DM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TABAGISMO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HT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IVC</w:t>
            </w:r>
          </w:p>
        </w:tc>
      </w:tr>
      <w:tr>
        <w:trPr/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2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</w:tr>
      <w:tr>
        <w:trPr/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2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</w:tr>
      <w:tr>
        <w:trPr/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2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</w:tr>
      <w:tr>
        <w:trPr/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…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2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</w:tr>
      <w:tr>
        <w:trPr/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20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2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  <w:bookmarkStart w:id="11" w:name="limpeza-dos-dados"/>
            <w:bookmarkStart w:id="12" w:name="limpeza-dos-dados"/>
            <w:bookmarkEnd w:id="12"/>
          </w:p>
        </w:tc>
      </w:tr>
    </w:tbl>
    <w:p>
      <w:pPr>
        <w:pStyle w:val="Ttulo1"/>
        <w:rPr/>
      </w:pPr>
      <w:bookmarkStart w:id="13" w:name="__RefHeading___Toc12981_3199744553"/>
      <w:bookmarkEnd w:id="13"/>
      <w:r>
        <w:rPr/>
        <w:t>Variáveis do estudo</w:t>
      </w:r>
    </w:p>
    <w:p>
      <w:pPr>
        <w:pStyle w:val="Ttulo2"/>
        <w:rPr/>
      </w:pPr>
      <w:bookmarkStart w:id="14" w:name="__RefHeading___Toc12983_3199744553"/>
      <w:bookmarkEnd w:id="14"/>
      <w:r>
        <w:rPr/>
        <w:t>Desfechos primário e secundários</w:t>
      </w:r>
    </w:p>
    <w:p>
      <w:pPr>
        <w:pStyle w:val="FirstParagraph"/>
        <w:rPr/>
      </w:pPr>
      <w:r>
        <w:rPr/>
        <w:t>Serão avaliados quatro desfechos na comparação entre os dois grupos de participantes:</w:t>
      </w:r>
    </w:p>
    <w:p>
      <w:pPr>
        <w:pStyle w:val="Corpodotexto"/>
        <w:rPr/>
      </w:pPr>
      <w:r>
        <w:rPr>
          <w:b/>
          <w:bCs/>
        </w:rPr>
        <w:t>desfecho primário</w:t>
      </w:r>
    </w:p>
    <w:p>
      <w:pPr>
        <w:pStyle w:val="Compact"/>
        <w:numPr>
          <w:ilvl w:val="0"/>
          <w:numId w:val="45"/>
        </w:numPr>
        <w:rPr/>
      </w:pPr>
      <w:r>
        <w:rPr/>
        <w:t>Diferença na EVD pré e pós nos dois grupos (numérica)</w:t>
      </w:r>
    </w:p>
    <w:p>
      <w:pPr>
        <w:pStyle w:val="FirstParagraph"/>
        <w:rPr/>
      </w:pPr>
      <w:r>
        <w:rPr>
          <w:b/>
          <w:bCs/>
        </w:rPr>
        <w:t>desfechos secundários</w:t>
      </w:r>
    </w:p>
    <w:p>
      <w:pPr>
        <w:pStyle w:val="Compact"/>
        <w:numPr>
          <w:ilvl w:val="0"/>
          <w:numId w:val="46"/>
        </w:numPr>
        <w:rPr/>
      </w:pPr>
      <w:r>
        <w:rPr/>
        <w:t>Alteração degenerativa (artrose) (dicotômica)</w:t>
      </w:r>
    </w:p>
    <w:p>
      <w:pPr>
        <w:pStyle w:val="Compact"/>
        <w:numPr>
          <w:ilvl w:val="0"/>
          <w:numId w:val="47"/>
        </w:numPr>
        <w:rPr/>
      </w:pPr>
      <w:r>
        <w:rPr/>
        <w:t>Grau de satisfação (numérico)</w:t>
      </w:r>
    </w:p>
    <w:p>
      <w:pPr>
        <w:pStyle w:val="Compact"/>
        <w:numPr>
          <w:ilvl w:val="0"/>
          <w:numId w:val="48"/>
        </w:numPr>
        <w:rPr/>
      </w:pPr>
      <w:r>
        <w:rPr/>
        <w:t>Retorno à profissão (dicotômica)</w:t>
      </w:r>
      <w:bookmarkStart w:id="15" w:name="desfechos-primário-e-secundários"/>
      <w:bookmarkEnd w:id="15"/>
    </w:p>
    <w:p>
      <w:pPr>
        <w:pStyle w:val="Ttulo2"/>
        <w:rPr/>
      </w:pPr>
      <w:bookmarkStart w:id="16" w:name="__RefHeading___Toc12985_3199744553"/>
      <w:bookmarkEnd w:id="16"/>
      <w:r>
        <w:rPr/>
        <w:t>Covariáveis</w:t>
      </w:r>
    </w:p>
    <w:p>
      <w:pPr>
        <w:pStyle w:val="Compact"/>
        <w:numPr>
          <w:ilvl w:val="0"/>
          <w:numId w:val="49"/>
        </w:numPr>
        <w:rPr/>
      </w:pPr>
      <w:r>
        <w:rPr/>
        <w:t>Idade (em anos)</w:t>
      </w:r>
    </w:p>
    <w:p>
      <w:pPr>
        <w:pStyle w:val="Compact"/>
        <w:numPr>
          <w:ilvl w:val="0"/>
          <w:numId w:val="50"/>
        </w:numPr>
        <w:rPr/>
      </w:pPr>
      <w:r>
        <w:rPr/>
        <w:t>Sexo (feminino/masculino)</w:t>
      </w:r>
    </w:p>
    <w:p>
      <w:pPr>
        <w:pStyle w:val="Compact"/>
        <w:numPr>
          <w:ilvl w:val="0"/>
          <w:numId w:val="51"/>
        </w:numPr>
        <w:rPr/>
      </w:pPr>
      <w:r>
        <w:rPr/>
        <w:t>Acometimento no lado dominante (direito/esquerdo)</w:t>
      </w:r>
    </w:p>
    <w:p>
      <w:pPr>
        <w:pStyle w:val="Compact"/>
        <w:numPr>
          <w:ilvl w:val="0"/>
          <w:numId w:val="52"/>
        </w:numPr>
        <w:rPr/>
      </w:pPr>
      <w:r>
        <w:rPr/>
        <w:t>Tempo até a artrose (em anos)</w:t>
      </w:r>
    </w:p>
    <w:p>
      <w:pPr>
        <w:pStyle w:val="Compact"/>
        <w:numPr>
          <w:ilvl w:val="0"/>
          <w:numId w:val="53"/>
        </w:numPr>
        <w:rPr/>
      </w:pPr>
      <w:r>
        <w:rPr/>
        <w:t>Comorbidades (dicotômicas)</w:t>
      </w:r>
    </w:p>
    <w:p>
      <w:pPr>
        <w:pStyle w:val="Compact"/>
        <w:numPr>
          <w:ilvl w:val="1"/>
          <w:numId w:val="54"/>
        </w:numPr>
        <w:rPr/>
      </w:pPr>
      <w:r>
        <w:rPr/>
        <w:t>HAS</w:t>
      </w:r>
    </w:p>
    <w:p>
      <w:pPr>
        <w:pStyle w:val="Compact"/>
        <w:numPr>
          <w:ilvl w:val="1"/>
          <w:numId w:val="55"/>
        </w:numPr>
        <w:rPr/>
      </w:pPr>
      <w:r>
        <w:rPr/>
        <w:t>DM</w:t>
      </w:r>
    </w:p>
    <w:p>
      <w:pPr>
        <w:pStyle w:val="Compact"/>
        <w:numPr>
          <w:ilvl w:val="1"/>
          <w:numId w:val="56"/>
        </w:numPr>
        <w:rPr/>
      </w:pPr>
      <w:r>
        <w:rPr/>
        <w:t>Tabagismo</w:t>
      </w:r>
    </w:p>
    <w:p>
      <w:pPr>
        <w:pStyle w:val="Compact"/>
        <w:numPr>
          <w:ilvl w:val="1"/>
          <w:numId w:val="57"/>
        </w:numPr>
        <w:rPr/>
      </w:pPr>
      <w:r>
        <w:rPr/>
        <w:t>HT</w:t>
      </w:r>
    </w:p>
    <w:p>
      <w:pPr>
        <w:pStyle w:val="Compact"/>
        <w:numPr>
          <w:ilvl w:val="1"/>
          <w:numId w:val="58"/>
        </w:numPr>
        <w:rPr/>
      </w:pPr>
      <w:r>
        <w:rPr/>
        <w:t>IVC</w:t>
      </w:r>
      <w:bookmarkStart w:id="17" w:name="covariáveis"/>
      <w:bookmarkEnd w:id="17"/>
    </w:p>
    <w:p>
      <w:pPr>
        <w:pStyle w:val="Ttulo1"/>
        <w:rPr/>
      </w:pPr>
      <w:bookmarkStart w:id="18" w:name="__RefHeading___Toc12987_3199744553"/>
      <w:bookmarkEnd w:id="18"/>
      <w:r>
        <w:rPr/>
        <w:t>Métodos estatísticos</w:t>
      </w:r>
    </w:p>
    <w:p>
      <w:pPr>
        <w:pStyle w:val="Ttulo2"/>
        <w:rPr/>
      </w:pPr>
      <w:bookmarkStart w:id="19" w:name="__RefHeading___Toc12989_3199744553"/>
      <w:bookmarkEnd w:id="19"/>
      <w:r>
        <w:rPr/>
        <w:t>Análises estatísticas</w:t>
      </w:r>
    </w:p>
    <w:p>
      <w:pPr>
        <w:pStyle w:val="Ttulo3"/>
        <w:rPr/>
      </w:pPr>
      <w:bookmarkStart w:id="20" w:name="__RefHeading___Toc12991_3199744553"/>
      <w:bookmarkEnd w:id="20"/>
      <w:r>
        <w:rPr/>
        <w:t>Análise descritiva</w:t>
      </w:r>
    </w:p>
    <w:p>
      <w:pPr>
        <w:pStyle w:val="FirstParagraph"/>
        <w:rPr/>
      </w:pPr>
      <w:r>
        <w:rPr/>
        <w:t>As variáveis numéricas serão descritas como média e desvio padrão. As variáveis categóricas serão descritas como frequência e proporção. As proporções serão apresentadas como porcentagem.</w:t>
      </w:r>
    </w:p>
    <w:p>
      <w:pPr>
        <w:pStyle w:val="Corpodotexto"/>
        <w:rPr/>
      </w:pPr>
      <w:r>
        <w:rPr/>
        <w:t>A análise descritiva será dividida em duas tabelas:</w:t>
      </w:r>
    </w:p>
    <w:p>
      <w:pPr>
        <w:pStyle w:val="Compact"/>
        <w:numPr>
          <w:ilvl w:val="0"/>
          <w:numId w:val="59"/>
        </w:numPr>
        <w:rPr/>
      </w:pPr>
      <w:r>
        <w:rPr/>
        <w:t>tabela das características dos participantes do estudo, apresentando as covariáveis descritas na seção 4.2</w:t>
      </w:r>
    </w:p>
    <w:p>
      <w:pPr>
        <w:pStyle w:val="Compact"/>
        <w:numPr>
          <w:ilvl w:val="0"/>
          <w:numId w:val="60"/>
        </w:numPr>
        <w:rPr/>
      </w:pPr>
      <w:r>
        <w:rPr/>
        <w:t>tabela descritiva dos desfechos do estudo descritos na seção 4.1</w:t>
      </w:r>
    </w:p>
    <w:p>
      <w:pPr>
        <w:pStyle w:val="FirstParagraph"/>
        <w:rPr/>
      </w:pPr>
      <w:r>
        <w:rPr/>
        <w:t>Ambas as tabelas apresentarão os dados estratificados nos dois grupos.</w:t>
      </w:r>
      <w:bookmarkStart w:id="21" w:name="análise-descritiva"/>
      <w:bookmarkEnd w:id="21"/>
    </w:p>
    <w:p>
      <w:pPr>
        <w:pStyle w:val="Ttulo3"/>
        <w:rPr/>
      </w:pPr>
      <w:bookmarkStart w:id="22" w:name="__RefHeading___Toc12993_3199744553"/>
      <w:bookmarkEnd w:id="22"/>
      <w:r>
        <w:rPr/>
        <w:t>Análise inferencial</w:t>
      </w:r>
    </w:p>
    <w:p>
      <w:pPr>
        <w:pStyle w:val="FirstParagraph"/>
        <w:rPr/>
      </w:pPr>
      <w:r>
        <w:rPr/>
        <w:t>A comparação de variáveis numéricas entre os dois grupos será avaliada com o teste t de Student não pareado. O p-valor do teste t de student será apresentado na tabela descritiva dos resultados</w:t>
      </w:r>
    </w:p>
    <w:p>
      <w:pPr>
        <w:pStyle w:val="Corpodotexto"/>
        <w:rPr/>
      </w:pPr>
      <w:r>
        <w:rPr/>
        <w:t>A comparação de variáveis categóricas entre os dois grupos será avaliada com o teste exato de Fisher.</w:t>
      </w:r>
      <w:bookmarkStart w:id="23" w:name="análise-inferencial"/>
      <w:bookmarkStart w:id="24" w:name="análises-estatísticas"/>
      <w:bookmarkEnd w:id="23"/>
      <w:bookmarkEnd w:id="24"/>
    </w:p>
    <w:p>
      <w:pPr>
        <w:pStyle w:val="Ttulo2"/>
        <w:rPr/>
      </w:pPr>
      <w:bookmarkStart w:id="25" w:name="__RefHeading___Toc12995_3199744553"/>
      <w:bookmarkEnd w:id="25"/>
      <w:r>
        <w:rPr/>
        <w:t>Significância e Intervalos de Confiança</w:t>
      </w:r>
    </w:p>
    <w:p>
      <w:pPr>
        <w:pStyle w:val="FirstParagraph"/>
        <w:rPr/>
      </w:pPr>
      <w:r>
        <w:rPr/>
        <w:t>Todas as análises serão feitas com nível de significância de 5%. Todos os testes de significância e intervalos de confiança calculados serão bilaterais.</w:t>
      </w:r>
      <w:bookmarkStart w:id="26" w:name="significância-e-intervalos-de-confiança"/>
      <w:bookmarkEnd w:id="26"/>
    </w:p>
    <w:p>
      <w:pPr>
        <w:pStyle w:val="Ttulo2"/>
        <w:rPr/>
      </w:pPr>
      <w:bookmarkStart w:id="27" w:name="__RefHeading___Toc12997_3199744553"/>
      <w:bookmarkEnd w:id="27"/>
      <w:r>
        <w:rPr/>
        <w:t>Tamanho da amostra e Poder</w:t>
      </w:r>
    </w:p>
    <w:p>
      <w:pPr>
        <w:pStyle w:val="FirstParagraph"/>
        <w:rPr/>
      </w:pPr>
      <w:r>
        <w:rPr/>
        <w:t>O desfecho primário deste estudo é uma variável numérica e será analisada com o teste t de Student. Na ausência de estimativas prévias da média e desvio padrão do desfecho primário (EVD) a análise de poder só pode ser feita usando-se o método de Cohen (Cohen, 1988) de tamanho de efeito padronizado. Esta abordagem utiliza apenas os dados obtidos na amostra de estudo e Cohen sugere a seguinte interpretação de tamanhos de efeito padronizados:</w:t>
      </w:r>
    </w:p>
    <w:p>
      <w:pPr>
        <w:pStyle w:val="Compact"/>
        <w:numPr>
          <w:ilvl w:val="0"/>
          <w:numId w:val="61"/>
        </w:numPr>
        <w:rPr/>
      </w:pPr>
      <w:r>
        <w:rPr/>
        <w:t>efeito pequeno: d = 0.2</w:t>
      </w:r>
    </w:p>
    <w:p>
      <w:pPr>
        <w:pStyle w:val="Compact"/>
        <w:numPr>
          <w:ilvl w:val="0"/>
          <w:numId w:val="62"/>
        </w:numPr>
        <w:rPr/>
      </w:pPr>
      <w:r>
        <w:rPr/>
        <w:t>efeito médio: d = 0.5</w:t>
      </w:r>
    </w:p>
    <w:p>
      <w:pPr>
        <w:pStyle w:val="Compact"/>
        <w:numPr>
          <w:ilvl w:val="0"/>
          <w:numId w:val="63"/>
        </w:numPr>
        <w:rPr/>
      </w:pPr>
      <w:r>
        <w:rPr/>
        <w:t>efeito grande: d = 0.8</w:t>
      </w:r>
    </w:p>
    <w:p>
      <w:pPr>
        <w:pStyle w:val="FirstParagraph"/>
        <w:rPr/>
      </w:pPr>
      <w:r>
        <w:rPr/>
        <w:t>Com 10 participantes incluídos em cada grupo, este estudo é capaz de detectar um tamanho de efeito grande (d = 0.8) com poder de 39.5% e significância de 5%. Por outro lado, se estipularmos o nível de poder tipicamente encontrado na literatura de 80%, o efeito padronizado precisa ser pelo menos 1.32 para que este estudo possa detectá-lo com significância de 5%.</w:t>
      </w:r>
    </w:p>
    <w:p>
      <w:pPr>
        <w:pStyle w:val="Corpodotexto"/>
        <w:rPr/>
      </w:pPr>
      <w:r>
        <w:rPr/>
        <w:t>É pouco provável que esta amostra seja suficiente para detectar um efeito estatisticamente significativo entre os grupos.</w:t>
      </w:r>
      <w:bookmarkStart w:id="28" w:name="tamanho-da-amostra-e-poder"/>
      <w:bookmarkEnd w:id="28"/>
    </w:p>
    <w:p>
      <w:pPr>
        <w:pStyle w:val="Ttulo2"/>
        <w:rPr/>
      </w:pPr>
      <w:bookmarkStart w:id="29" w:name="__RefHeading___Toc12999_3199744553"/>
      <w:bookmarkEnd w:id="29"/>
      <w:r>
        <w:rPr/>
        <w:t>Softwares utilizados</w:t>
      </w:r>
    </w:p>
    <w:p>
      <w:pPr>
        <w:pStyle w:val="FirstParagraph"/>
        <w:rPr/>
      </w:pPr>
      <w:r>
        <w:rPr/>
        <w:t xml:space="preserve">Esta análise será realizada utilizando-se o software </w:t>
      </w:r>
      <w:r>
        <w:rPr>
          <w:rStyle w:val="VerbatimChar"/>
        </w:rPr>
        <w:t>R</w:t>
      </w:r>
      <w:r>
        <w:rPr/>
        <w:t xml:space="preserve"> versão 4.0.3.</w:t>
      </w:r>
      <w:bookmarkStart w:id="30" w:name="softwares-utilizados"/>
      <w:bookmarkStart w:id="31" w:name="métodos-estatísticos"/>
      <w:bookmarkEnd w:id="30"/>
      <w:bookmarkEnd w:id="31"/>
    </w:p>
    <w:p>
      <w:pPr>
        <w:pStyle w:val="Ttulo1"/>
        <w:rPr/>
      </w:pPr>
      <w:bookmarkStart w:id="32" w:name="__RefHeading___Toc13001_3199744553"/>
      <w:bookmarkEnd w:id="32"/>
      <w:r>
        <w:rPr/>
        <w:t>Referências</w:t>
      </w:r>
    </w:p>
    <w:p>
      <w:pPr>
        <w:pStyle w:val="Compact"/>
        <w:numPr>
          <w:ilvl w:val="0"/>
          <w:numId w:val="64"/>
        </w:numPr>
        <w:rPr/>
      </w:pPr>
      <w:r>
        <w:rPr/>
        <w:t>Cohen, J. (1988). Statistical power analysis for the behavioral sciences (2nd ed.). Hillsdale,NJ: Lawrence Erlbaum.</w:t>
      </w:r>
      <w:bookmarkStart w:id="33" w:name="referências"/>
      <w:bookmarkEnd w:id="33"/>
    </w:p>
    <w:p>
      <w:pPr>
        <w:pStyle w:val="Ttulo1"/>
        <w:rPr/>
      </w:pPr>
      <w:bookmarkStart w:id="34" w:name="__RefHeading___Toc13003_3199744553"/>
      <w:bookmarkEnd w:id="34"/>
      <w:r>
        <w:rPr/>
        <w:t>Apêndice</w:t>
      </w:r>
    </w:p>
    <w:p>
      <w:pPr>
        <w:pStyle w:val="Ttulo2"/>
        <w:rPr/>
      </w:pPr>
      <w:bookmarkStart w:id="35" w:name="__RefHeading___Toc13005_3199744553"/>
      <w:bookmarkEnd w:id="35"/>
      <w:r>
        <w:rPr/>
        <w:t>Disponibilidade</w:t>
      </w:r>
    </w:p>
    <w:p>
      <w:pPr>
        <w:pStyle w:val="FirstParagraph"/>
        <w:rPr/>
      </w:pPr>
      <w:r>
        <w:rPr/>
        <w:t>Tanto este plano analítico como o relatório correspondente (</w:t>
      </w:r>
      <w:r>
        <w:rPr>
          <w:b/>
          <w:bCs/>
        </w:rPr>
        <w:t>SAR-2020-001-DM-v01</w:t>
      </w:r>
      <w:r>
        <w:rPr/>
        <w:t>) podem ser obtidos no seguinte endereço:</w:t>
      </w:r>
    </w:p>
    <w:p>
      <w:pPr>
        <w:pStyle w:val="Corpodotexto"/>
        <w:spacing w:before="180" w:after="180"/>
        <w:rPr/>
      </w:pPr>
      <w:r>
        <w:rPr>
          <w:rStyle w:val="VerbatimChar"/>
        </w:rPr>
        <w:t>https://github.com/philsf-biostat/SAR-2020-001-DM/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275" cy="36195"/>
              <wp:effectExtent l="0" t="0" r="0" b="0"/>
              <wp:docPr id="4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6560" cy="35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5" path="m0,0l-2147483645,0l-2147483645,-2147483646l0,-2147483646xe" fillcolor="white" stroked="t" style="position:absolute;margin-left:0pt;margin-top:-2.85pt;width:483.15pt;height:2.7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2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1"/>
      <w:gridCol w:w="198"/>
      <w:gridCol w:w="1632"/>
      <w:gridCol w:w="196"/>
      <w:gridCol w:w="971"/>
      <w:gridCol w:w="200"/>
      <w:gridCol w:w="643"/>
      <w:gridCol w:w="183"/>
      <w:gridCol w:w="1057"/>
    </w:tblGrid>
    <w:tr>
      <w:trPr/>
      <w:tc>
        <w:tcPr>
          <w:tcW w:w="4541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>
        <w:lang w:val="pt-BR" w:eastAsia="en-US" w:bidi="ar-SA"/>
      </w:rPr>
    </w:pPr>
    <w:r>
      <w:rPr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275" cy="36195"/>
              <wp:effectExtent l="0" t="0" r="0" b="0"/>
              <wp:docPr id="3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6560" cy="35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2.85pt;width:483.15pt;height:2.7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LibreOffice/7.1.5.2$Linux_X86_64 LibreOffice_project/10$Build-2</Application>
  <AppVersion>15.0000</AppVersion>
  <Pages>6</Pages>
  <Words>937</Words>
  <Characters>5060</Characters>
  <CharactersWithSpaces>5868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2021-09-01T01:07:12Z</dcterms:created>
  <dc:creator>De: Felipe Figueiredo Para: Diego Rezende Martins</dc:creator>
  <dc:description/>
  <dc:language>pt-BR</dc:language>
  <cp:lastModifiedBy>Felipe Figueiredo</cp:lastModifiedBy>
  <dcterms:modified xsi:type="dcterms:W3CDTF">2021-08-31T22:13:13Z</dcterms:modified>
  <cp:revision>2</cp:revision>
  <dc:subject/>
  <dc:title>Plano Analítico de Análise estatística de estudo de carpectomias comparando vias de acesso dorsal e volar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Data: 07/01/2021</vt:lpwstr>
  </property>
  <property fmtid="{D5CDD505-2E9C-101B-9397-08002B2CF9AE}" pid="3" name="output">
    <vt:lpwstr/>
  </property>
  <property fmtid="{D5CDD505-2E9C-101B-9397-08002B2CF9AE}" pid="4" name="subtitle">
    <vt:lpwstr>DOCUMENTO: SAP-2020-001-DM-v01</vt:lpwstr>
  </property>
  <property fmtid="{D5CDD505-2E9C-101B-9397-08002B2CF9AE}" pid="5" name="toc-title">
    <vt:lpwstr>Sumário</vt:lpwstr>
  </property>
</Properties>
</file>