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Plano Analítico para Perfil epidemiológico de pacientes aguardando na fila de revisão de ATQ em Santa Catarina</w:t>
      </w:r>
    </w:p>
    <w:p>
      <w:pPr>
        <w:pStyle w:val="Subttulo"/>
        <w:rPr/>
      </w:pPr>
      <w:r>
        <w:rPr/>
        <w:t>DOCUMENTO: SAP-2021-003-FP-v01</w:t>
      </w:r>
    </w:p>
    <w:p>
      <w:pPr>
        <w:pStyle w:val="Author"/>
        <w:rPr/>
      </w:pPr>
      <w:r>
        <w:rPr>
          <w:b/>
          <w:bCs/>
        </w:rPr>
        <w:t>De:</w:t>
      </w:r>
      <w:r>
        <w:rPr/>
        <w:t xml:space="preserve"> Felipe Figueiredo </w:t>
      </w:r>
      <w:r>
        <w:rPr>
          <w:b/>
          <w:bCs/>
        </w:rPr>
        <w:t>Para:</w:t>
      </w:r>
      <w:r>
        <w:rPr/>
        <w:t xml:space="preserve"> Fernando Pina Cabral</w:t>
      </w:r>
    </w:p>
    <w:p>
      <w:pPr>
        <w:pStyle w:val="Date"/>
        <w:rPr/>
      </w:pPr>
      <w:r>
        <w:rPr>
          <w:b/>
          <w:bCs/>
        </w:rPr>
        <w:t>Data:</w:t>
      </w:r>
      <w:r>
        <w:rPr/>
        <w:t xml:space="preserve"> 2021-07-14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9557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559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561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2.1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563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2.2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565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2.3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567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  Dados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569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  Dados brutos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571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573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  Variáveis do estudo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575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4.1  Desfechos primário e secundários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577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579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  Métodos estatísticos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581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  Análises estatísticas</w:t>
              <w:tab/>
              <w:t>5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9583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5.1.1  Análise descritiva</w:t>
              <w:tab/>
              <w:t>5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9585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5.1.2  Análise inferencial</w:t>
              <w:tab/>
              <w:t>5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9587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5.1.3  Modelagem estatística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589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5.2  Significância e Intervalos de Confiança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591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5.3  Tamanho da amostra e Poder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593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5.4  Softwares utilizados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595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6  Exceções e Observações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597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7  Referências</w:t>
              <w:tab/>
              <w:t>6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599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  Apêndice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601_3464848887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8.1  Disponibilidade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Histórico do documento</w:t>
      </w:r>
    </w:p>
    <w:tbl>
      <w:tblPr>
        <w:tblStyle w:val="Table"/>
        <w:tblW w:w="23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873"/>
        <w:gridCol w:w="1448"/>
      </w:tblGrid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Alterações</w:t>
            </w:r>
          </w:p>
        </w:tc>
      </w:tr>
      <w:tr>
        <w:trPr/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1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Ttulo1"/>
        <w:rPr/>
      </w:pPr>
      <w:bookmarkStart w:id="0" w:name="__RefHeading___Toc9557_3464848887"/>
      <w:bookmarkEnd w:id="0"/>
      <w:r>
        <w:rPr/>
        <w:t>Lista de abreviaturas</w:t>
      </w:r>
    </w:p>
    <w:p>
      <w:pPr>
        <w:pStyle w:val="Compact"/>
        <w:numPr>
          <w:ilvl w:val="0"/>
          <w:numId w:val="2"/>
        </w:numPr>
        <w:rPr/>
      </w:pPr>
      <w:r>
        <w:rPr/>
        <w:t>AINES: anti-inflamatórios não esteroides</w:t>
      </w:r>
    </w:p>
    <w:p>
      <w:pPr>
        <w:pStyle w:val="Compact"/>
        <w:numPr>
          <w:ilvl w:val="0"/>
          <w:numId w:val="2"/>
        </w:numPr>
        <w:rPr/>
      </w:pPr>
      <w:r>
        <w:rPr/>
        <w:t>ATQ: Artroplastia Total de Quadril</w:t>
      </w:r>
    </w:p>
    <w:p>
      <w:pPr>
        <w:pStyle w:val="Compact"/>
        <w:numPr>
          <w:ilvl w:val="0"/>
          <w:numId w:val="2"/>
        </w:numPr>
        <w:rPr/>
      </w:pPr>
      <w:r>
        <w:rPr/>
        <w:t>HHS: Harris Hip Score</w:t>
      </w:r>
    </w:p>
    <w:p>
      <w:pPr>
        <w:pStyle w:val="Compact"/>
        <w:numPr>
          <w:ilvl w:val="0"/>
          <w:numId w:val="2"/>
        </w:numPr>
        <w:rPr/>
      </w:pPr>
      <w:r>
        <w:rPr/>
        <w:t>SM: Salário Mínimo</w:t>
      </w:r>
      <w:bookmarkStart w:id="1" w:name="lista-de-abreviaturas"/>
      <w:bookmarkEnd w:id="1"/>
    </w:p>
    <w:p>
      <w:pPr>
        <w:pStyle w:val="Ttulo1"/>
        <w:rPr/>
      </w:pPr>
      <w:bookmarkStart w:id="2" w:name="__RefHeading___Toc9559_3464848887"/>
      <w:bookmarkEnd w:id="2"/>
      <w:r>
        <w:rPr/>
        <w:t>Introdução</w:t>
      </w:r>
    </w:p>
    <w:p>
      <w:pPr>
        <w:pStyle w:val="Ttulo2"/>
        <w:rPr/>
      </w:pPr>
      <w:bookmarkStart w:id="3" w:name="__RefHeading___Toc9561_3464848887"/>
      <w:bookmarkEnd w:id="3"/>
      <w:r>
        <w:rPr/>
        <w:t>Contexto</w:t>
      </w:r>
      <w:bookmarkStart w:id="4" w:name="contexto"/>
      <w:bookmarkEnd w:id="4"/>
    </w:p>
    <w:p>
      <w:pPr>
        <w:pStyle w:val="Ttulo2"/>
        <w:rPr/>
      </w:pPr>
      <w:bookmarkStart w:id="5" w:name="__RefHeading___Toc9563_3464848887"/>
      <w:bookmarkEnd w:id="5"/>
      <w:r>
        <w:rPr/>
        <w:t>Objetivos</w:t>
      </w:r>
    </w:p>
    <w:p>
      <w:pPr>
        <w:pStyle w:val="FirstParagraph"/>
        <w:rPr/>
      </w:pPr>
      <w:r>
        <w:rPr/>
        <w:t>Descrever o perfil epidemiológico, o tempo de espera e o perfil de risco dos pacientes aguardando na fila de revisão de ATQ no estado de Santa Catarina.</w:t>
      </w:r>
      <w:bookmarkStart w:id="6" w:name="objetivos"/>
      <w:bookmarkEnd w:id="6"/>
    </w:p>
    <w:p>
      <w:pPr>
        <w:pStyle w:val="Ttulo2"/>
        <w:rPr/>
      </w:pPr>
      <w:bookmarkStart w:id="7" w:name="__RefHeading___Toc9565_3464848887"/>
      <w:bookmarkEnd w:id="7"/>
      <w:r>
        <w:rPr/>
        <w:t>Hipóteses</w:t>
      </w:r>
    </w:p>
    <w:p>
      <w:pPr>
        <w:pStyle w:val="FirstParagraph"/>
        <w:rPr/>
      </w:pPr>
      <w:r>
        <w:rPr/>
        <w:t>Pacientes com altos índices de Charlson também possuem classificação de Paprosky desfavorável.</w:t>
      </w:r>
      <w:bookmarkStart w:id="8" w:name="introdução"/>
      <w:bookmarkStart w:id="9" w:name="hipóteses"/>
      <w:bookmarkEnd w:id="8"/>
      <w:bookmarkEnd w:id="9"/>
    </w:p>
    <w:p>
      <w:pPr>
        <w:pStyle w:val="Ttulo1"/>
        <w:rPr/>
      </w:pPr>
      <w:bookmarkStart w:id="10" w:name="__RefHeading___Toc9567_3464848887"/>
      <w:bookmarkEnd w:id="10"/>
      <w:r>
        <w:rPr/>
        <w:t>Dados</w:t>
      </w:r>
    </w:p>
    <w:p>
      <w:pPr>
        <w:pStyle w:val="Ttulo2"/>
        <w:rPr/>
      </w:pPr>
      <w:bookmarkStart w:id="11" w:name="__RefHeading___Toc9569_3464848887"/>
      <w:bookmarkEnd w:id="11"/>
      <w:r>
        <w:rPr/>
        <w:t>Dados brutos</w:t>
      </w:r>
    </w:p>
    <w:p>
      <w:pPr>
        <w:pStyle w:val="FirstParagraph"/>
        <w:rPr/>
      </w:pPr>
      <w:r>
        <w:rPr/>
        <w:t>Os dados brutos foram recebidos em tabela Excel, que foram tratados e limpos previamente à análise.</w:t>
      </w:r>
      <w:bookmarkStart w:id="12" w:name="dados-brutos"/>
      <w:bookmarkEnd w:id="12"/>
    </w:p>
    <w:p>
      <w:pPr>
        <w:pStyle w:val="Ttulo2"/>
        <w:rPr/>
      </w:pPr>
      <w:bookmarkStart w:id="13" w:name="__RefHeading___Toc9571_3464848887"/>
      <w:bookmarkEnd w:id="13"/>
      <w:r>
        <w:rPr/>
        <w:t>Tabela de dados analíticos</w:t>
      </w:r>
    </w:p>
    <w:p>
      <w:pPr>
        <w:pStyle w:val="FirstParagraph"/>
        <w:rPr/>
      </w:pPr>
      <w:r>
        <w:rPr/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/>
      </w:pPr>
      <w:r>
        <w:rPr/>
        <w:t>Depois dos procedimentos de limpeza e seleção 23 variáveis foram incluídas na análise com 58 observações. A Tabela 1 mostra a estrutura dos dados analíticos.</w:t>
      </w:r>
    </w:p>
    <w:p>
      <w:pPr>
        <w:pStyle w:val="TableCaption"/>
        <w:rPr/>
      </w:pPr>
      <w:r>
        <w:rPr>
          <w:b/>
          <w:bCs/>
        </w:rPr>
        <w:t>Tabela 1</w:t>
      </w:r>
      <w:r>
        <w:rPr/>
        <w:t xml:space="preserve"> Estrutura da tabela de dados analíticos após seleção e limpeza das variáveis. (continued below)</w:t>
      </w:r>
    </w:p>
    <w:tbl>
      <w:tblPr>
        <w:tblStyle w:val="Table"/>
        <w:tblW w:w="833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11"/>
        <w:gridCol w:w="941"/>
        <w:gridCol w:w="491"/>
        <w:gridCol w:w="1211"/>
        <w:gridCol w:w="1481"/>
        <w:gridCol w:w="581"/>
        <w:gridCol w:w="1031"/>
        <w:gridCol w:w="581"/>
        <w:gridCol w:w="581"/>
        <w:gridCol w:w="1121"/>
      </w:tblGrid>
      <w:tr>
        <w:trPr/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id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idade_num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sexo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escolaridade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tempo_de_espera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valor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aposentado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causa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renda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deambulacao</w:t>
            </w:r>
          </w:p>
        </w:tc>
      </w:tr>
      <w:tr>
        <w:trPr/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…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58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aption"/>
        <w:rPr/>
      </w:pPr>
      <w:r>
        <w:rPr/>
        <w:t>Table continues below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883"/>
        <w:gridCol w:w="2388"/>
        <w:gridCol w:w="1680"/>
        <w:gridCol w:w="1769"/>
        <w:gridCol w:w="1591"/>
        <w:gridCol w:w="1326"/>
      </w:tblGrid>
      <w:tr>
        <w:trPr/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charlson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cirurgia_durante_a_espera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medicacoes_em_uso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uso_de_analgesicos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anti_depressivos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motivo_da_atq</w:t>
            </w:r>
          </w:p>
        </w:tc>
      </w:tr>
      <w:tr>
        <w:trPr/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aption"/>
        <w:rPr/>
      </w:pPr>
      <w:r>
        <w:rPr/>
        <w:t>Table continues below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309"/>
        <w:gridCol w:w="844"/>
        <w:gridCol w:w="467"/>
        <w:gridCol w:w="1498"/>
        <w:gridCol w:w="935"/>
        <w:gridCol w:w="749"/>
        <w:gridCol w:w="1778"/>
        <w:gridCol w:w="935"/>
        <w:gridCol w:w="1122"/>
      </w:tblGrid>
      <w:tr>
        <w:trPr/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motivo_outro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ano_atq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hhs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charlson_faixa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revisoes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motivo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diagnostico_atual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paprosky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tempo_anos</w:t>
            </w:r>
          </w:p>
        </w:tc>
      </w:tr>
      <w:tr>
        <w:trPr/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"/>
        <w:tblW w:w="273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941"/>
        <w:gridCol w:w="941"/>
        <w:gridCol w:w="851"/>
      </w:tblGrid>
      <w:tr>
        <w:trPr/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paprosky3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tabagismo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etilismo</w:t>
            </w:r>
          </w:p>
        </w:tc>
      </w:tr>
      <w:tr>
        <w:trPr/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</w:tbl>
    <w:p>
      <w:pPr>
        <w:pStyle w:val="Corpodotexto"/>
        <w:rPr/>
      </w:pPr>
      <w:r>
        <w:rPr/>
        <w:t>A tabela de dados analíticos serão disponibilizados na versão privada do relatório, e serão omitidas da versão pública do relatório.</w:t>
      </w:r>
      <w:bookmarkStart w:id="14" w:name="dados"/>
      <w:bookmarkStart w:id="15" w:name="tabela-de-dados-analíticos"/>
      <w:bookmarkEnd w:id="14"/>
      <w:bookmarkEnd w:id="15"/>
    </w:p>
    <w:p>
      <w:pPr>
        <w:pStyle w:val="Ttulo1"/>
        <w:rPr/>
      </w:pPr>
      <w:bookmarkStart w:id="16" w:name="__RefHeading___Toc9573_3464848887"/>
      <w:bookmarkEnd w:id="16"/>
      <w:r>
        <w:rPr/>
        <w:t>Variáveis do estudo</w:t>
      </w:r>
    </w:p>
    <w:p>
      <w:pPr>
        <w:pStyle w:val="Ttulo2"/>
        <w:rPr/>
      </w:pPr>
      <w:bookmarkStart w:id="17" w:name="__RefHeading___Toc9575_3464848887"/>
      <w:bookmarkEnd w:id="17"/>
      <w:r>
        <w:rPr/>
        <w:t>Desfechos primário e secundários</w:t>
      </w:r>
    </w:p>
    <w:p>
      <w:pPr>
        <w:pStyle w:val="FirstParagraph"/>
        <w:rPr/>
      </w:pPr>
      <w:r>
        <w:rPr/>
        <w:t>Esta análise descreve as características epidemiológicas e o risco em pacientes que aguardam cirgia de revisão, e nenhum endpoint será avaliado.</w:t>
      </w:r>
      <w:bookmarkStart w:id="18" w:name="desfechos-primário-e-secundários"/>
      <w:bookmarkEnd w:id="18"/>
    </w:p>
    <w:p>
      <w:pPr>
        <w:pStyle w:val="Ttulo2"/>
        <w:rPr/>
      </w:pPr>
      <w:bookmarkStart w:id="19" w:name="__RefHeading___Toc9577_3464848887"/>
      <w:bookmarkEnd w:id="19"/>
      <w:r>
        <w:rPr/>
        <w:t>Covariáveis</w:t>
      </w:r>
    </w:p>
    <w:p>
      <w:pPr>
        <w:pStyle w:val="FirstParagraph"/>
        <w:rPr/>
      </w:pPr>
      <w:r>
        <w:rPr/>
        <w:t>As distribuições das características demográficas e clínicas serão descritas. As variáveis consideradas para inclusão na análise serão</w:t>
      </w:r>
    </w:p>
    <w:p>
      <w:pPr>
        <w:pStyle w:val="Compact"/>
        <w:numPr>
          <w:ilvl w:val="0"/>
          <w:numId w:val="5"/>
        </w:numPr>
        <w:rPr/>
      </w:pPr>
      <w:r>
        <w:rPr/>
        <w:t>Idade (anos)</w:t>
      </w:r>
    </w:p>
    <w:p>
      <w:pPr>
        <w:pStyle w:val="Compact"/>
        <w:numPr>
          <w:ilvl w:val="0"/>
          <w:numId w:val="6"/>
        </w:numPr>
        <w:rPr/>
      </w:pPr>
      <w:r>
        <w:rPr/>
        <w:t>Sexo</w:t>
      </w:r>
    </w:p>
    <w:p>
      <w:pPr>
        <w:pStyle w:val="Compact"/>
        <w:numPr>
          <w:ilvl w:val="0"/>
          <w:numId w:val="7"/>
        </w:numPr>
        <w:rPr/>
      </w:pPr>
      <w:r>
        <w:rPr/>
        <w:t>Escolaridade</w:t>
      </w:r>
    </w:p>
    <w:p>
      <w:pPr>
        <w:pStyle w:val="Compact"/>
        <w:numPr>
          <w:ilvl w:val="0"/>
          <w:numId w:val="8"/>
        </w:numPr>
        <w:rPr/>
      </w:pPr>
      <w:r>
        <w:rPr/>
        <w:t>Tabagismo e Etilismo</w:t>
      </w:r>
    </w:p>
    <w:p>
      <w:pPr>
        <w:pStyle w:val="Compact"/>
        <w:numPr>
          <w:ilvl w:val="0"/>
          <w:numId w:val="9"/>
        </w:numPr>
        <w:rPr/>
      </w:pPr>
      <w:r>
        <w:rPr/>
        <w:t>Status de aposentadoria e causa</w:t>
      </w:r>
    </w:p>
    <w:p>
      <w:pPr>
        <w:pStyle w:val="Compact"/>
        <w:numPr>
          <w:ilvl w:val="0"/>
          <w:numId w:val="10"/>
        </w:numPr>
        <w:rPr/>
      </w:pPr>
      <w:r>
        <w:rPr/>
        <w:t>Renda familiar (em SM)</w:t>
      </w:r>
    </w:p>
    <w:p>
      <w:pPr>
        <w:pStyle w:val="Compact"/>
        <w:numPr>
          <w:ilvl w:val="0"/>
          <w:numId w:val="11"/>
        </w:numPr>
        <w:rPr/>
      </w:pPr>
      <w:r>
        <w:rPr/>
        <w:t>Motivo da ATQ primária</w:t>
      </w:r>
    </w:p>
    <w:p>
      <w:pPr>
        <w:pStyle w:val="Compact"/>
        <w:numPr>
          <w:ilvl w:val="0"/>
          <w:numId w:val="12"/>
        </w:numPr>
        <w:rPr/>
      </w:pPr>
      <w:r>
        <w:rPr/>
        <w:t>Status na deambulação na ATQ primária</w:t>
      </w:r>
    </w:p>
    <w:p>
      <w:pPr>
        <w:pStyle w:val="Compact"/>
        <w:numPr>
          <w:ilvl w:val="0"/>
          <w:numId w:val="13"/>
        </w:numPr>
        <w:rPr/>
      </w:pPr>
      <w:r>
        <w:rPr/>
        <w:t>Diagnóstico atual</w:t>
      </w:r>
    </w:p>
    <w:p>
      <w:pPr>
        <w:pStyle w:val="Compact"/>
        <w:numPr>
          <w:ilvl w:val="0"/>
          <w:numId w:val="14"/>
        </w:numPr>
        <w:rPr/>
      </w:pPr>
      <w:r>
        <w:rPr/>
        <w:t>Número de revisões prévias e motivo</w:t>
      </w:r>
    </w:p>
    <w:p>
      <w:pPr>
        <w:pStyle w:val="Compact"/>
        <w:numPr>
          <w:ilvl w:val="0"/>
          <w:numId w:val="15"/>
        </w:numPr>
        <w:rPr/>
      </w:pPr>
      <w:r>
        <w:rPr/>
        <w:t>Uso de antidepressivos e analgésicos</w:t>
      </w:r>
    </w:p>
    <w:p>
      <w:pPr>
        <w:pStyle w:val="Compact"/>
        <w:numPr>
          <w:ilvl w:val="0"/>
          <w:numId w:val="16"/>
        </w:numPr>
        <w:rPr/>
      </w:pPr>
      <w:r>
        <w:rPr/>
        <w:t>Tempo de espera (anos)</w:t>
      </w:r>
    </w:p>
    <w:p>
      <w:pPr>
        <w:pStyle w:val="Compact"/>
        <w:numPr>
          <w:ilvl w:val="0"/>
          <w:numId w:val="17"/>
        </w:numPr>
        <w:rPr/>
      </w:pPr>
      <w:r>
        <w:rPr/>
        <w:t>Índice de Charlson</w:t>
      </w:r>
    </w:p>
    <w:p>
      <w:pPr>
        <w:pStyle w:val="Compact"/>
        <w:numPr>
          <w:ilvl w:val="0"/>
          <w:numId w:val="18"/>
        </w:numPr>
        <w:rPr/>
      </w:pPr>
      <w:r>
        <w:rPr/>
        <w:t>Escore de Harris (HHS)</w:t>
      </w:r>
    </w:p>
    <w:p>
      <w:pPr>
        <w:pStyle w:val="Compact"/>
        <w:numPr>
          <w:ilvl w:val="0"/>
          <w:numId w:val="19"/>
        </w:numPr>
        <w:rPr/>
      </w:pPr>
      <w:r>
        <w:rPr/>
        <w:t>Classificação de Paprosky</w:t>
      </w:r>
      <w:bookmarkStart w:id="20" w:name="variáveis-do-estudo"/>
      <w:bookmarkStart w:id="21" w:name="covariáveis"/>
      <w:bookmarkEnd w:id="20"/>
      <w:bookmarkEnd w:id="21"/>
    </w:p>
    <w:p>
      <w:pPr>
        <w:pStyle w:val="Ttulo1"/>
        <w:rPr/>
      </w:pPr>
      <w:bookmarkStart w:id="22" w:name="__RefHeading___Toc9579_3464848887"/>
      <w:bookmarkEnd w:id="22"/>
      <w:r>
        <w:rPr/>
        <w:t>Métodos estatísticos</w:t>
      </w:r>
    </w:p>
    <w:p>
      <w:pPr>
        <w:pStyle w:val="Ttulo2"/>
        <w:rPr/>
      </w:pPr>
      <w:bookmarkStart w:id="23" w:name="__RefHeading___Toc9581_3464848887"/>
      <w:bookmarkEnd w:id="23"/>
      <w:r>
        <w:rPr/>
        <w:t>Análises estatísticas</w:t>
      </w:r>
    </w:p>
    <w:p>
      <w:pPr>
        <w:pStyle w:val="Ttulo3"/>
        <w:rPr/>
      </w:pPr>
      <w:bookmarkStart w:id="24" w:name="__RefHeading___Toc9583_3464848887"/>
      <w:bookmarkEnd w:id="24"/>
      <w:r>
        <w:rPr/>
        <w:t>Análise descritiva</w:t>
      </w:r>
    </w:p>
    <w:p>
      <w:pPr>
        <w:pStyle w:val="FirstParagraph"/>
        <w:rPr/>
      </w:pPr>
      <w:r>
        <w:rPr/>
        <w:t>As características dos pacientes serão descritas de acordo com o tipo de variávei: variáveis contínuas serão descritas como média (DP) e variáveis categóricas como frequência e proporção.</w:t>
      </w:r>
      <w:bookmarkStart w:id="25" w:name="análise-descritiva"/>
      <w:bookmarkEnd w:id="25"/>
    </w:p>
    <w:p>
      <w:pPr>
        <w:pStyle w:val="Ttulo3"/>
        <w:rPr/>
      </w:pPr>
      <w:bookmarkStart w:id="26" w:name="__RefHeading___Toc9585_3464848887"/>
      <w:bookmarkEnd w:id="26"/>
      <w:r>
        <w:rPr/>
        <w:t>Análise inferencial</w:t>
      </w:r>
    </w:p>
    <w:p>
      <w:pPr>
        <w:pStyle w:val="FirstParagraph"/>
        <w:rPr/>
      </w:pPr>
      <w:r>
        <w:rPr/>
        <w:t>A associação entre o escore de Charlson e a classificação de Paprosky será avaliada com o teste exato de Fisher.</w:t>
      </w:r>
      <w:bookmarkStart w:id="27" w:name="análise-inferencial"/>
      <w:bookmarkEnd w:id="27"/>
    </w:p>
    <w:p>
      <w:pPr>
        <w:pStyle w:val="Ttulo3"/>
        <w:rPr/>
      </w:pPr>
      <w:bookmarkStart w:id="28" w:name="__RefHeading___Toc9587_3464848887"/>
      <w:bookmarkEnd w:id="28"/>
      <w:r>
        <w:rPr/>
        <w:t>Modelagem estatística</w:t>
      </w:r>
    </w:p>
    <w:p>
      <w:pPr>
        <w:pStyle w:val="FirstParagraph"/>
        <w:rPr/>
      </w:pPr>
      <w:r>
        <w:rPr/>
        <w:t>Nenhum ajuste para covariáveis será avaliado.</w:t>
      </w:r>
      <w:bookmarkStart w:id="29" w:name="análises-estatísticas"/>
      <w:bookmarkStart w:id="30" w:name="modelagem-estatística"/>
      <w:bookmarkEnd w:id="29"/>
      <w:bookmarkEnd w:id="30"/>
    </w:p>
    <w:p>
      <w:pPr>
        <w:pStyle w:val="Ttulo2"/>
        <w:rPr/>
      </w:pPr>
      <w:bookmarkStart w:id="31" w:name="__RefHeading___Toc9589_3464848887"/>
      <w:bookmarkEnd w:id="31"/>
      <w:r>
        <w:rPr/>
        <w:t>Significância e Intervalos de Confiança</w:t>
      </w:r>
    </w:p>
    <w:p>
      <w:pPr>
        <w:pStyle w:val="FirstParagraph"/>
        <w:rPr/>
      </w:pPr>
      <w:r>
        <w:rPr/>
        <w:t>Todas as análises serão realizadas ao nível de significância de 5%. Todos os testes de hipóteses e intervalos de confiança calculados serão bicaudais.</w:t>
      </w:r>
      <w:bookmarkStart w:id="32" w:name="significância-e-intervalos-de-confiança"/>
      <w:bookmarkEnd w:id="32"/>
    </w:p>
    <w:p>
      <w:pPr>
        <w:pStyle w:val="Ttulo2"/>
        <w:rPr/>
      </w:pPr>
      <w:bookmarkStart w:id="33" w:name="__RefHeading___Toc9591_3464848887"/>
      <w:bookmarkEnd w:id="33"/>
      <w:r>
        <w:rPr/>
        <w:t>Tamanho da amostra e Poder</w:t>
      </w:r>
    </w:p>
    <w:p>
      <w:pPr>
        <w:pStyle w:val="FirstParagraph"/>
        <w:rPr/>
      </w:pPr>
      <w:r>
        <w:rPr/>
        <w:t>Não será feita análise de poder.</w:t>
      </w:r>
      <w:bookmarkStart w:id="34" w:name="tamanho-da-amostra-e-poder"/>
      <w:bookmarkEnd w:id="34"/>
    </w:p>
    <w:p>
      <w:pPr>
        <w:pStyle w:val="Ttulo2"/>
        <w:rPr/>
      </w:pPr>
      <w:bookmarkStart w:id="35" w:name="__RefHeading___Toc9593_3464848887"/>
      <w:bookmarkEnd w:id="35"/>
      <w:r>
        <w:rPr/>
        <w:t>Softwares utilizados</w:t>
      </w:r>
    </w:p>
    <w:p>
      <w:pPr>
        <w:pStyle w:val="FirstParagraph"/>
        <w:rPr/>
      </w:pPr>
      <w:r>
        <w:rPr/>
        <w:t xml:space="preserve">Esta análise será realizada utilizando-se o software </w:t>
      </w:r>
      <w:r>
        <w:rPr>
          <w:rStyle w:val="VerbatimChar"/>
        </w:rPr>
        <w:t>R</w:t>
      </w:r>
      <w:r>
        <w:rPr/>
        <w:t xml:space="preserve"> versão 4.1.0.</w:t>
      </w:r>
      <w:bookmarkStart w:id="36" w:name="métodos-estatísticos"/>
      <w:bookmarkStart w:id="37" w:name="softwares-utilizados"/>
      <w:bookmarkEnd w:id="36"/>
      <w:bookmarkEnd w:id="37"/>
    </w:p>
    <w:p>
      <w:pPr>
        <w:pStyle w:val="Ttulo1"/>
        <w:rPr/>
      </w:pPr>
      <w:bookmarkStart w:id="38" w:name="__RefHeading___Toc9595_3464848887"/>
      <w:bookmarkEnd w:id="38"/>
      <w:r>
        <w:rPr/>
        <w:t>Exceções e Observações</w:t>
      </w:r>
    </w:p>
    <w:p>
      <w:pPr>
        <w:pStyle w:val="FirstParagraph"/>
        <w:rPr/>
      </w:pPr>
      <w:r>
        <w:rPr/>
        <w:t>N/A.</w:t>
      </w:r>
      <w:bookmarkStart w:id="39" w:name="exceções-e-observações"/>
      <w:bookmarkEnd w:id="39"/>
    </w:p>
    <w:p>
      <w:pPr>
        <w:pStyle w:val="Ttulo1"/>
        <w:rPr/>
      </w:pPr>
      <w:bookmarkStart w:id="40" w:name="__RefHeading___Toc9597_3464848887"/>
      <w:bookmarkEnd w:id="40"/>
      <w:r>
        <w:rPr/>
        <w:t>Referências</w:t>
      </w:r>
    </w:p>
    <w:p>
      <w:pPr>
        <w:pStyle w:val="Compact"/>
        <w:numPr>
          <w:ilvl w:val="0"/>
          <w:numId w:val="20"/>
        </w:numPr>
        <w:rPr/>
      </w:pPr>
      <w:r>
        <w:rPr>
          <w:b/>
          <w:bCs/>
        </w:rPr>
        <w:t>SAR-2021-003-FP-v01</w:t>
      </w:r>
      <w:r>
        <w:rPr/>
        <w:t xml:space="preserve"> – Perfil epidemiológico de pacientes aguardando na fila de revisão de ATQ em Santa Catarina </w:t>
      </w:r>
      <w:bookmarkStart w:id="41" w:name="referências"/>
      <w:bookmarkEnd w:id="41"/>
    </w:p>
    <w:p>
      <w:pPr>
        <w:pStyle w:val="Ttulo1"/>
        <w:rPr/>
      </w:pPr>
      <w:bookmarkStart w:id="42" w:name="__RefHeading___Toc9599_3464848887"/>
      <w:bookmarkEnd w:id="42"/>
      <w:r>
        <w:rPr/>
        <w:t>Apêndice</w:t>
      </w:r>
    </w:p>
    <w:p>
      <w:pPr>
        <w:pStyle w:val="Ttulo2"/>
        <w:rPr/>
      </w:pPr>
      <w:bookmarkStart w:id="43" w:name="__RefHeading___Toc9601_3464848887"/>
      <w:bookmarkEnd w:id="43"/>
      <w:r>
        <w:rPr/>
        <w:t>Disponibilidade</w:t>
      </w:r>
    </w:p>
    <w:p>
      <w:pPr>
        <w:pStyle w:val="FirstParagraph"/>
        <w:rPr/>
      </w:pPr>
      <w:r>
        <w:rPr/>
        <w:t>Tanto este plano analítico como o relatório correspondente (</w:t>
      </w:r>
      <w:r>
        <w:rPr>
          <w:b/>
          <w:bCs/>
        </w:rPr>
        <w:t>SAR-2021-003-FP-v01</w:t>
      </w:r>
      <w:r>
        <w:rPr/>
        <w:t>) podem ser obtidos no seguinte endereço:</w:t>
      </w:r>
    </w:p>
    <w:p>
      <w:pPr>
        <w:pStyle w:val="Corpodotexto"/>
        <w:rPr/>
      </w:pPr>
      <w:hyperlink r:id="rId3">
        <w:r>
          <w:rPr>
            <w:rStyle w:val="LinkdaInternet"/>
          </w:rPr>
          <w:t>https://github.com/philsf-biostat/SAR-2021-003-FP/</w:t>
        </w:r>
      </w:hyperlink>
    </w:p>
    <w:p>
      <w:pPr>
        <w:pStyle w:val="Corpodotexto"/>
        <w:spacing w:before="180" w:after="18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Ubuntu Mono">
    <w:charset w:val="01"/>
    <w:family w:val="auto"/>
    <w:pitch w:val="fixed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4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2"/>
      <w:gridCol w:w="195"/>
      <w:gridCol w:w="972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hilsf-biostat/SAR-2021-003-FP/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LibreOffice/7.1.5.2$Linux_X86_64 LibreOffice_project/10$Build-2</Application>
  <AppVersion>15.0000</AppVersion>
  <Pages>6</Pages>
  <Words>684</Words>
  <Characters>3961</Characters>
  <CharactersWithSpaces>4555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2021-09-06T20:44:05Z</dcterms:created>
  <dc:creator>De: Felipe Figueiredo Para: Fernando Pina Cabral</dc:creator>
  <dc:description/>
  <dc:language>pt-BR</dc:language>
  <cp:lastModifiedBy>Felipe Figueiredo</cp:lastModifiedBy>
  <dcterms:modified xsi:type="dcterms:W3CDTF">2021-09-06T17:48:03Z</dcterms:modified>
  <cp:revision>3</cp:revision>
  <dc:subject/>
  <dc:title>Plano Analítico para Perfil epidemiológico de pacientes aguardando na fila de revisão de ATQ em Santa Catarina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2021-07-14</vt:lpwstr>
  </property>
  <property fmtid="{D5CDD505-2E9C-101B-9397-08002B2CF9AE}" pid="3" name="output">
    <vt:lpwstr/>
  </property>
  <property fmtid="{D5CDD505-2E9C-101B-9397-08002B2CF9AE}" pid="4" name="subtitle">
    <vt:lpwstr>DOCUMENTO: SAP-2021-003-FP-v01</vt:lpwstr>
  </property>
  <property fmtid="{D5CDD505-2E9C-101B-9397-08002B2CF9AE}" pid="5" name="toc-title">
    <vt:lpwstr>Sumário</vt:lpwstr>
  </property>
</Properties>
</file>