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935C65" w:rsidRDefault="00740805" w14:paraId="487182A7" w14:textId="77777777">
      <w:pPr>
        <w:pStyle w:val="Ttulo"/>
        <w:rPr>
          <w:rFonts w:hint="eastAsia"/>
        </w:rPr>
      </w:pPr>
      <w:r>
        <w:t>Perfil epidemiológico de pacientes aguardando na fila de revisão de ATQ em Santa Catarina</w:t>
      </w:r>
    </w:p>
    <w:p w:rsidR="00935C65" w:rsidRDefault="00740805" w14:paraId="7FB89E57" w14:textId="77777777">
      <w:pPr>
        <w:pStyle w:val="Subttulo"/>
        <w:rPr>
          <w:rFonts w:hint="eastAsia"/>
        </w:rPr>
      </w:pPr>
      <w:r>
        <w:t>RELATÓRIO: analise_dados_FP_2021a-v01</w:t>
      </w:r>
    </w:p>
    <w:p w:rsidR="00935C65" w:rsidRDefault="00740805" w14:paraId="00419BFC" w14:textId="77777777">
      <w:pPr>
        <w:pStyle w:val="Author"/>
      </w:pPr>
      <w:r>
        <w:rPr>
          <w:b/>
          <w:bCs/>
        </w:rPr>
        <w:t>De:</w:t>
      </w:r>
      <w:r>
        <w:t xml:space="preserve"> Felipe Figueiredo </w:t>
      </w:r>
      <w:r>
        <w:rPr>
          <w:b/>
          <w:bCs/>
        </w:rPr>
        <w:t>Para:</w:t>
      </w:r>
      <w:r>
        <w:t xml:space="preserve"> Fernando Pina</w:t>
      </w:r>
    </w:p>
    <w:p w:rsidR="00935C65" w:rsidRDefault="00740805" w14:paraId="7E99F3CA" w14:textId="77777777">
      <w:pPr>
        <w:pStyle w:val="Data"/>
      </w:pPr>
      <w:r>
        <w:rPr>
          <w:b/>
          <w:bCs/>
        </w:rPr>
        <w:t xml:space="preserve">Data: </w:t>
      </w:r>
      <w:r>
        <w:t xml:space="preserve"> 2021-07-14</w:t>
      </w:r>
    </w:p>
    <w:sdt>
      <w:sdtPr>
        <w:id w:val="1430391085"/>
        <w:docPartObj>
          <w:docPartGallery w:val="Table of Contents"/>
          <w:docPartUnique/>
        </w:docPartObj>
      </w:sdtPr>
      <w:sdtContent>
        <w:p w:rsidR="00935C65" w:rsidP="46CCF040" w:rsidRDefault="00740805" w14:paraId="2D32F493" w14:textId="77777777" w14:noSpellErr="1">
          <w:pPr>
            <w:pStyle w:val="CabealhodoSumrio"/>
            <w:numPr>
              <w:numId w:val="0"/>
            </w:numPr>
          </w:pPr>
          <w:bookmarkStart w:name="_Toc574769522" w:id="1679481523"/>
          <w:r w:rsidR="7CC7374C">
            <w:rPr/>
            <w:t>Sumário</w:t>
          </w:r>
          <w:bookmarkEnd w:id="1679481523"/>
        </w:p>
        <w:p w:rsidR="00935C65" w:rsidP="46CCF040" w:rsidRDefault="00740805" w14:paraId="4C73D54D" w14:textId="65DEBAAC">
          <w:pPr>
            <w:pStyle w:val="Sumrio1"/>
            <w:tabs>
              <w:tab w:val="right" w:leader="dot" w:pos="9630"/>
            </w:tabs>
            <w:rPr>
              <w:rFonts w:ascii="Arial" w:hAnsi="Arial" w:eastAsia="Calibri" w:cs="Arial"/>
              <w:b w:val="1"/>
              <w:bCs w:val="1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574769522">
            <w:r w:rsidRPr="7CC7374C" w:rsidR="7CC7374C">
              <w:rPr>
                <w:rStyle w:val="Hyperlink"/>
              </w:rPr>
              <w:t>Sumário</w:t>
            </w:r>
            <w:r>
              <w:tab/>
            </w:r>
            <w:r>
              <w:fldChar w:fldCharType="begin"/>
            </w:r>
            <w:r>
              <w:instrText xml:space="preserve">PAGEREF _Toc574769522 \h</w:instrText>
            </w:r>
            <w:r>
              <w:fldChar w:fldCharType="separate"/>
            </w:r>
            <w:r w:rsidRPr="7CC7374C" w:rsidR="7CC7374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6CCF040" w:rsidP="46CCF040" w:rsidRDefault="46CCF040" w14:paraId="5FA1EF49" w14:textId="218B1EB0">
          <w:pPr>
            <w:pStyle w:val="Sumrio1"/>
            <w:tabs>
              <w:tab w:val="right" w:leader="dot" w:pos="9630"/>
              <w:tab w:val="left" w:leader="none" w:pos="390"/>
            </w:tabs>
            <w:rPr>
              <w:rFonts w:ascii="Arial" w:hAnsi="Arial" w:eastAsia="Calibri" w:cs="Arial"/>
              <w:b w:val="1"/>
              <w:bCs w:val="1"/>
            </w:rPr>
          </w:pPr>
          <w:hyperlink w:anchor="_Toc896544998">
            <w:r w:rsidRPr="7CC7374C" w:rsidR="7CC7374C">
              <w:rPr>
                <w:rStyle w:val="Hyperlink"/>
              </w:rPr>
              <w:t>1</w:t>
            </w:r>
            <w:r>
              <w:tab/>
            </w:r>
            <w:r w:rsidRPr="7CC7374C" w:rsidR="7CC7374C">
              <w:rPr>
                <w:rStyle w:val="Hyperlink"/>
              </w:rPr>
              <w:t>Lista de abreviaturas</w:t>
            </w:r>
            <w:r>
              <w:tab/>
            </w:r>
            <w:r>
              <w:fldChar w:fldCharType="begin"/>
            </w:r>
            <w:r>
              <w:instrText xml:space="preserve">PAGEREF _Toc896544998 \h</w:instrText>
            </w:r>
            <w:r>
              <w:fldChar w:fldCharType="separate"/>
            </w:r>
            <w:r w:rsidRPr="7CC7374C" w:rsidR="7CC7374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6CCF040" w:rsidP="46CCF040" w:rsidRDefault="46CCF040" w14:paraId="6F95C814" w14:textId="03B77C08">
          <w:pPr>
            <w:pStyle w:val="Sumrio1"/>
            <w:tabs>
              <w:tab w:val="right" w:leader="dot" w:pos="9630"/>
              <w:tab w:val="left" w:leader="none" w:pos="390"/>
            </w:tabs>
            <w:rPr>
              <w:rFonts w:ascii="Arial" w:hAnsi="Arial" w:eastAsia="Calibri" w:cs="Arial"/>
              <w:b w:val="1"/>
              <w:bCs w:val="1"/>
            </w:rPr>
          </w:pPr>
          <w:hyperlink w:anchor="_Toc1471330249">
            <w:r w:rsidRPr="7CC7374C" w:rsidR="7CC7374C">
              <w:rPr>
                <w:rStyle w:val="Hyperlink"/>
              </w:rPr>
              <w:t>2</w:t>
            </w:r>
            <w:r>
              <w:tab/>
            </w:r>
            <w:r w:rsidRPr="7CC7374C" w:rsidR="7CC7374C">
              <w:rPr>
                <w:rStyle w:val="Hyperlink"/>
              </w:rPr>
              <w:t>Introdução</w:t>
            </w:r>
            <w:r>
              <w:tab/>
            </w:r>
            <w:r>
              <w:fldChar w:fldCharType="begin"/>
            </w:r>
            <w:r>
              <w:instrText xml:space="preserve">PAGEREF _Toc1471330249 \h</w:instrText>
            </w:r>
            <w:r>
              <w:fldChar w:fldCharType="separate"/>
            </w:r>
            <w:r w:rsidRPr="7CC7374C" w:rsidR="7CC7374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6CCF040" w:rsidP="46CCF040" w:rsidRDefault="46CCF040" w14:paraId="5AD10469" w14:textId="2214FCCA">
          <w:pPr>
            <w:pStyle w:val="Sumrio2"/>
            <w:tabs>
              <w:tab w:val="right" w:leader="dot" w:pos="9630"/>
              <w:tab w:val="left" w:leader="none" w:pos="600"/>
            </w:tabs>
            <w:rPr>
              <w:rFonts w:ascii="Arial" w:hAnsi="Arial" w:eastAsia="Calibri" w:cs="Arial"/>
              <w:b w:val="1"/>
              <w:bCs w:val="1"/>
            </w:rPr>
          </w:pPr>
          <w:hyperlink w:anchor="_Toc347307460">
            <w:r w:rsidRPr="7CC7374C" w:rsidR="7CC7374C">
              <w:rPr>
                <w:rStyle w:val="Hyperlink"/>
              </w:rPr>
              <w:t>2.1</w:t>
            </w:r>
            <w:r>
              <w:tab/>
            </w:r>
            <w:r w:rsidRPr="7CC7374C" w:rsidR="7CC7374C">
              <w:rPr>
                <w:rStyle w:val="Hyperlink"/>
              </w:rPr>
              <w:t>Objetivos</w:t>
            </w:r>
            <w:r>
              <w:tab/>
            </w:r>
            <w:r>
              <w:fldChar w:fldCharType="begin"/>
            </w:r>
            <w:r>
              <w:instrText xml:space="preserve">PAGEREF _Toc347307460 \h</w:instrText>
            </w:r>
            <w:r>
              <w:fldChar w:fldCharType="separate"/>
            </w:r>
            <w:r w:rsidRPr="7CC7374C" w:rsidR="7CC7374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6CCF040" w:rsidP="46CCF040" w:rsidRDefault="46CCF040" w14:paraId="7CC0C181" w14:textId="77260ACF">
          <w:pPr>
            <w:pStyle w:val="Sumrio2"/>
            <w:tabs>
              <w:tab w:val="right" w:leader="dot" w:pos="9630"/>
              <w:tab w:val="left" w:leader="none" w:pos="600"/>
            </w:tabs>
            <w:rPr>
              <w:rFonts w:ascii="Arial" w:hAnsi="Arial" w:eastAsia="Calibri" w:cs="Arial"/>
              <w:b w:val="1"/>
              <w:bCs w:val="1"/>
            </w:rPr>
          </w:pPr>
          <w:hyperlink w:anchor="_Toc1381093948">
            <w:r w:rsidRPr="7CC7374C" w:rsidR="7CC7374C">
              <w:rPr>
                <w:rStyle w:val="Hyperlink"/>
              </w:rPr>
              <w:t>2.2</w:t>
            </w:r>
            <w:r>
              <w:tab/>
            </w:r>
            <w:r w:rsidRPr="7CC7374C" w:rsidR="7CC7374C">
              <w:rPr>
                <w:rStyle w:val="Hyperlink"/>
              </w:rPr>
              <w:t>Recepção e tratamento dos dados</w:t>
            </w:r>
            <w:r>
              <w:tab/>
            </w:r>
            <w:r>
              <w:fldChar w:fldCharType="begin"/>
            </w:r>
            <w:r>
              <w:instrText xml:space="preserve">PAGEREF _Toc1381093948 \h</w:instrText>
            </w:r>
            <w:r>
              <w:fldChar w:fldCharType="separate"/>
            </w:r>
            <w:r w:rsidRPr="7CC7374C" w:rsidR="7CC7374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6CCF040" w:rsidP="46CCF040" w:rsidRDefault="46CCF040" w14:paraId="5813CC2C" w14:textId="1C7EA7EC">
          <w:pPr>
            <w:pStyle w:val="Sumrio1"/>
            <w:tabs>
              <w:tab w:val="right" w:leader="dot" w:pos="9630"/>
              <w:tab w:val="left" w:leader="none" w:pos="390"/>
            </w:tabs>
            <w:rPr>
              <w:rFonts w:ascii="Arial" w:hAnsi="Arial" w:eastAsia="Calibri" w:cs="Arial"/>
              <w:b w:val="1"/>
              <w:bCs w:val="1"/>
            </w:rPr>
          </w:pPr>
          <w:hyperlink w:anchor="_Toc81777933">
            <w:r w:rsidRPr="7CC7374C" w:rsidR="7CC7374C">
              <w:rPr>
                <w:rStyle w:val="Hyperlink"/>
              </w:rPr>
              <w:t>3</w:t>
            </w:r>
            <w:r>
              <w:tab/>
            </w:r>
            <w:r w:rsidRPr="7CC7374C" w:rsidR="7CC7374C">
              <w:rPr>
                <w:rStyle w:val="Hyperlink"/>
              </w:rPr>
              <w:t>Metodologia</w:t>
            </w:r>
            <w:r>
              <w:tab/>
            </w:r>
            <w:r>
              <w:fldChar w:fldCharType="begin"/>
            </w:r>
            <w:r>
              <w:instrText xml:space="preserve">PAGEREF _Toc81777933 \h</w:instrText>
            </w:r>
            <w:r>
              <w:fldChar w:fldCharType="separate"/>
            </w:r>
            <w:r w:rsidRPr="7CC7374C" w:rsidR="7CC7374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6CCF040" w:rsidP="46CCF040" w:rsidRDefault="46CCF040" w14:paraId="2AE2D5B0" w14:textId="2E3AB198">
          <w:pPr>
            <w:pStyle w:val="Sumrio2"/>
            <w:tabs>
              <w:tab w:val="right" w:leader="dot" w:pos="9630"/>
              <w:tab w:val="left" w:leader="none" w:pos="600"/>
            </w:tabs>
            <w:rPr>
              <w:rFonts w:ascii="Arial" w:hAnsi="Arial" w:eastAsia="Calibri" w:cs="Arial"/>
              <w:b w:val="1"/>
              <w:bCs w:val="1"/>
            </w:rPr>
          </w:pPr>
          <w:hyperlink w:anchor="_Toc1499008715">
            <w:r w:rsidRPr="7CC7374C" w:rsidR="7CC7374C">
              <w:rPr>
                <w:rStyle w:val="Hyperlink"/>
              </w:rPr>
              <w:t>3.1</w:t>
            </w:r>
            <w:r>
              <w:tab/>
            </w:r>
            <w:r w:rsidRPr="7CC7374C" w:rsidR="7CC7374C">
              <w:rPr>
                <w:rStyle w:val="Hyperlink"/>
              </w:rPr>
              <w:t>Variáveis</w:t>
            </w:r>
            <w:r>
              <w:tab/>
            </w:r>
            <w:r>
              <w:fldChar w:fldCharType="begin"/>
            </w:r>
            <w:r>
              <w:instrText xml:space="preserve">PAGEREF _Toc1499008715 \h</w:instrText>
            </w:r>
            <w:r>
              <w:fldChar w:fldCharType="separate"/>
            </w:r>
            <w:r w:rsidRPr="7CC7374C" w:rsidR="7CC7374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6CCF040" w:rsidP="46CCF040" w:rsidRDefault="46CCF040" w14:paraId="045958B9" w14:textId="44E0E6E1">
          <w:pPr>
            <w:pStyle w:val="Sumrio3"/>
            <w:tabs>
              <w:tab w:val="right" w:leader="dot" w:pos="9630"/>
              <w:tab w:val="left" w:leader="none" w:pos="990"/>
            </w:tabs>
            <w:rPr>
              <w:rFonts w:ascii="Arial" w:hAnsi="Arial" w:eastAsia="Calibri" w:cs="Arial"/>
              <w:b w:val="1"/>
              <w:bCs w:val="1"/>
            </w:rPr>
          </w:pPr>
          <w:hyperlink w:anchor="_Toc1073791427">
            <w:r w:rsidRPr="7CC7374C" w:rsidR="7CC7374C">
              <w:rPr>
                <w:rStyle w:val="Hyperlink"/>
              </w:rPr>
              <w:t>3.1.1</w:t>
            </w:r>
            <w:r>
              <w:tab/>
            </w:r>
            <w:r w:rsidRPr="7CC7374C" w:rsidR="7CC7374C">
              <w:rPr>
                <w:rStyle w:val="Hyperlink"/>
              </w:rPr>
              <w:t>Desfechos primário e secundário</w:t>
            </w:r>
            <w:r>
              <w:tab/>
            </w:r>
            <w:r>
              <w:fldChar w:fldCharType="begin"/>
            </w:r>
            <w:r>
              <w:instrText xml:space="preserve">PAGEREF _Toc1073791427 \h</w:instrText>
            </w:r>
            <w:r>
              <w:fldChar w:fldCharType="separate"/>
            </w:r>
            <w:r w:rsidRPr="7CC7374C" w:rsidR="7CC7374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6CCF040" w:rsidP="46CCF040" w:rsidRDefault="46CCF040" w14:paraId="656F1EA4" w14:textId="6C7661B5">
          <w:pPr>
            <w:pStyle w:val="Sumrio3"/>
            <w:tabs>
              <w:tab w:val="right" w:leader="dot" w:pos="9630"/>
              <w:tab w:val="left" w:leader="none" w:pos="990"/>
            </w:tabs>
            <w:rPr>
              <w:rFonts w:ascii="Arial" w:hAnsi="Arial" w:eastAsia="Calibri" w:cs="Arial"/>
              <w:b w:val="1"/>
              <w:bCs w:val="1"/>
            </w:rPr>
          </w:pPr>
          <w:hyperlink w:anchor="_Toc837342284">
            <w:r w:rsidRPr="7CC7374C" w:rsidR="7CC7374C">
              <w:rPr>
                <w:rStyle w:val="Hyperlink"/>
              </w:rPr>
              <w:t>3.1.2</w:t>
            </w:r>
            <w:r>
              <w:tab/>
            </w:r>
            <w:r w:rsidRPr="7CC7374C" w:rsidR="7CC7374C">
              <w:rPr>
                <w:rStyle w:val="Hyperlink"/>
              </w:rPr>
              <w:t>Covariáveis</w:t>
            </w:r>
            <w:r>
              <w:tab/>
            </w:r>
            <w:r>
              <w:fldChar w:fldCharType="begin"/>
            </w:r>
            <w:r>
              <w:instrText xml:space="preserve">PAGEREF _Toc837342284 \h</w:instrText>
            </w:r>
            <w:r>
              <w:fldChar w:fldCharType="separate"/>
            </w:r>
            <w:r w:rsidRPr="7CC7374C" w:rsidR="7CC7374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6CCF040" w:rsidP="46CCF040" w:rsidRDefault="46CCF040" w14:paraId="00D2BCFD" w14:textId="15AD7755">
          <w:pPr>
            <w:pStyle w:val="Sumrio2"/>
            <w:tabs>
              <w:tab w:val="right" w:leader="dot" w:pos="9630"/>
              <w:tab w:val="left" w:leader="none" w:pos="600"/>
            </w:tabs>
            <w:rPr>
              <w:rFonts w:ascii="Arial" w:hAnsi="Arial" w:eastAsia="Calibri" w:cs="Arial"/>
              <w:b w:val="1"/>
              <w:bCs w:val="1"/>
            </w:rPr>
          </w:pPr>
          <w:hyperlink w:anchor="_Toc1776234091">
            <w:r w:rsidRPr="7CC7374C" w:rsidR="7CC7374C">
              <w:rPr>
                <w:rStyle w:val="Hyperlink"/>
              </w:rPr>
              <w:t>3.2</w:t>
            </w:r>
            <w:r>
              <w:tab/>
            </w:r>
            <w:r w:rsidRPr="7CC7374C" w:rsidR="7CC7374C">
              <w:rPr>
                <w:rStyle w:val="Hyperlink"/>
              </w:rPr>
              <w:t>Análises Estatísticas</w:t>
            </w:r>
            <w:r>
              <w:tab/>
            </w:r>
            <w:r>
              <w:fldChar w:fldCharType="begin"/>
            </w:r>
            <w:r>
              <w:instrText xml:space="preserve">PAGEREF _Toc1776234091 \h</w:instrText>
            </w:r>
            <w:r>
              <w:fldChar w:fldCharType="separate"/>
            </w:r>
            <w:r w:rsidRPr="7CC7374C" w:rsidR="7CC7374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6CCF040" w:rsidP="46CCF040" w:rsidRDefault="46CCF040" w14:paraId="2E548F90" w14:textId="29213497">
          <w:pPr>
            <w:pStyle w:val="Sumrio3"/>
            <w:tabs>
              <w:tab w:val="right" w:leader="dot" w:pos="9630"/>
              <w:tab w:val="left" w:leader="none" w:pos="990"/>
            </w:tabs>
            <w:rPr>
              <w:rFonts w:ascii="Arial" w:hAnsi="Arial" w:eastAsia="Calibri" w:cs="Arial"/>
              <w:b w:val="1"/>
              <w:bCs w:val="1"/>
            </w:rPr>
          </w:pPr>
          <w:hyperlink w:anchor="_Toc32392705">
            <w:r w:rsidRPr="7CC7374C" w:rsidR="7CC7374C">
              <w:rPr>
                <w:rStyle w:val="Hyperlink"/>
              </w:rPr>
              <w:t>3.2.1</w:t>
            </w:r>
            <w:r>
              <w:tab/>
            </w:r>
            <w:r w:rsidRPr="7CC7374C" w:rsidR="7CC7374C">
              <w:rPr>
                <w:rStyle w:val="Hyperlink"/>
              </w:rPr>
              <w:t>Softwares utilizados</w:t>
            </w:r>
            <w:r>
              <w:tab/>
            </w:r>
            <w:r>
              <w:fldChar w:fldCharType="begin"/>
            </w:r>
            <w:r>
              <w:instrText xml:space="preserve">PAGEREF _Toc32392705 \h</w:instrText>
            </w:r>
            <w:r>
              <w:fldChar w:fldCharType="separate"/>
            </w:r>
            <w:r w:rsidRPr="7CC7374C" w:rsidR="7CC7374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6CCF040" w:rsidP="46CCF040" w:rsidRDefault="46CCF040" w14:paraId="1D89F5B0" w14:textId="18581F57">
          <w:pPr>
            <w:pStyle w:val="Sumrio1"/>
            <w:tabs>
              <w:tab w:val="right" w:leader="dot" w:pos="9630"/>
              <w:tab w:val="left" w:leader="none" w:pos="390"/>
            </w:tabs>
            <w:rPr>
              <w:rFonts w:ascii="Arial" w:hAnsi="Arial" w:eastAsia="Calibri" w:cs="Arial"/>
              <w:b w:val="1"/>
              <w:bCs w:val="1"/>
            </w:rPr>
          </w:pPr>
          <w:hyperlink w:anchor="_Toc1412914983">
            <w:r w:rsidRPr="7CC7374C" w:rsidR="7CC7374C">
              <w:rPr>
                <w:rStyle w:val="Hyperlink"/>
              </w:rPr>
              <w:t>4</w:t>
            </w:r>
            <w:r>
              <w:tab/>
            </w:r>
            <w:r w:rsidRPr="7CC7374C" w:rsidR="7CC7374C">
              <w:rPr>
                <w:rStyle w:val="Hyperlink"/>
              </w:rPr>
              <w:t>Resultados</w:t>
            </w:r>
            <w:r>
              <w:tab/>
            </w:r>
            <w:r>
              <w:fldChar w:fldCharType="begin"/>
            </w:r>
            <w:r>
              <w:instrText xml:space="preserve">PAGEREF _Toc1412914983 \h</w:instrText>
            </w:r>
            <w:r>
              <w:fldChar w:fldCharType="separate"/>
            </w:r>
            <w:r w:rsidRPr="7CC7374C" w:rsidR="7CC7374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6CCF040" w:rsidP="46CCF040" w:rsidRDefault="46CCF040" w14:paraId="28377877" w14:textId="24D25F45">
          <w:pPr>
            <w:pStyle w:val="Sumrio2"/>
            <w:tabs>
              <w:tab w:val="right" w:leader="dot" w:pos="9630"/>
              <w:tab w:val="left" w:leader="none" w:pos="600"/>
            </w:tabs>
            <w:rPr>
              <w:rFonts w:ascii="Arial" w:hAnsi="Arial" w:eastAsia="Calibri" w:cs="Arial"/>
              <w:b w:val="1"/>
              <w:bCs w:val="1"/>
            </w:rPr>
          </w:pPr>
          <w:hyperlink w:anchor="_Toc675121623">
            <w:r w:rsidRPr="7CC7374C" w:rsidR="7CC7374C">
              <w:rPr>
                <w:rStyle w:val="Hyperlink"/>
              </w:rPr>
              <w:t>4.1</w:t>
            </w:r>
            <w:r>
              <w:tab/>
            </w:r>
            <w:r w:rsidRPr="7CC7374C" w:rsidR="7CC7374C">
              <w:rPr>
                <w:rStyle w:val="Hyperlink"/>
              </w:rPr>
              <w:t>Perfil epidemiológico dos pacientes em fila de espera de revisão de ATQ</w:t>
            </w:r>
            <w:r>
              <w:tab/>
            </w:r>
            <w:r>
              <w:fldChar w:fldCharType="begin"/>
            </w:r>
            <w:r>
              <w:instrText xml:space="preserve">PAGEREF _Toc675121623 \h</w:instrText>
            </w:r>
            <w:r>
              <w:fldChar w:fldCharType="separate"/>
            </w:r>
            <w:r w:rsidRPr="7CC7374C" w:rsidR="7CC7374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6CCF040" w:rsidP="46CCF040" w:rsidRDefault="46CCF040" w14:paraId="3CADEAB6" w14:textId="28A169AB">
          <w:pPr>
            <w:pStyle w:val="Sumrio2"/>
            <w:tabs>
              <w:tab w:val="right" w:leader="dot" w:pos="9630"/>
              <w:tab w:val="left" w:leader="none" w:pos="600"/>
            </w:tabs>
            <w:rPr>
              <w:rFonts w:ascii="Arial" w:hAnsi="Arial" w:eastAsia="Calibri" w:cs="Arial"/>
              <w:b w:val="1"/>
              <w:bCs w:val="1"/>
            </w:rPr>
          </w:pPr>
          <w:hyperlink w:anchor="_Toc960689376">
            <w:r w:rsidRPr="7CC7374C" w:rsidR="7CC7374C">
              <w:rPr>
                <w:rStyle w:val="Hyperlink"/>
              </w:rPr>
              <w:t>4.2</w:t>
            </w:r>
            <w:r>
              <w:tab/>
            </w:r>
            <w:r w:rsidRPr="7CC7374C" w:rsidR="7CC7374C">
              <w:rPr>
                <w:rStyle w:val="Hyperlink"/>
              </w:rPr>
              <w:t>Tempo de espera de revisão de ATQ</w:t>
            </w:r>
            <w:r>
              <w:tab/>
            </w:r>
            <w:r>
              <w:fldChar w:fldCharType="begin"/>
            </w:r>
            <w:r>
              <w:instrText xml:space="preserve">PAGEREF _Toc960689376 \h</w:instrText>
            </w:r>
            <w:r>
              <w:fldChar w:fldCharType="separate"/>
            </w:r>
            <w:r w:rsidRPr="7CC7374C" w:rsidR="7CC7374C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6CCF040" w:rsidP="46CCF040" w:rsidRDefault="46CCF040" w14:paraId="75F503B9" w14:textId="2C435F05">
          <w:pPr>
            <w:pStyle w:val="Sumrio2"/>
            <w:tabs>
              <w:tab w:val="right" w:leader="dot" w:pos="9630"/>
              <w:tab w:val="left" w:leader="none" w:pos="600"/>
            </w:tabs>
            <w:rPr>
              <w:rFonts w:ascii="Arial" w:hAnsi="Arial" w:eastAsia="Calibri" w:cs="Arial"/>
              <w:b w:val="1"/>
              <w:bCs w:val="1"/>
            </w:rPr>
          </w:pPr>
          <w:hyperlink w:anchor="_Toc1365732332">
            <w:r w:rsidRPr="7CC7374C" w:rsidR="7CC7374C">
              <w:rPr>
                <w:rStyle w:val="Hyperlink"/>
              </w:rPr>
              <w:t>4.3</w:t>
            </w:r>
            <w:r>
              <w:tab/>
            </w:r>
            <w:r w:rsidRPr="7CC7374C" w:rsidR="7CC7374C">
              <w:rPr>
                <w:rStyle w:val="Hyperlink"/>
              </w:rPr>
              <w:t>Características clínicas dos pacientes durante a espera</w:t>
            </w:r>
            <w:r>
              <w:tab/>
            </w:r>
            <w:r>
              <w:fldChar w:fldCharType="begin"/>
            </w:r>
            <w:r>
              <w:instrText xml:space="preserve">PAGEREF _Toc1365732332 \h</w:instrText>
            </w:r>
            <w:r>
              <w:fldChar w:fldCharType="separate"/>
            </w:r>
            <w:r w:rsidRPr="7CC7374C" w:rsidR="7CC7374C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46CCF040" w:rsidP="46CCF040" w:rsidRDefault="46CCF040" w14:paraId="6E69A6D8" w14:textId="1129DA5F">
          <w:pPr>
            <w:pStyle w:val="Sumrio1"/>
            <w:tabs>
              <w:tab w:val="right" w:leader="dot" w:pos="9630"/>
              <w:tab w:val="left" w:leader="none" w:pos="390"/>
            </w:tabs>
            <w:rPr>
              <w:rFonts w:ascii="Arial" w:hAnsi="Arial" w:eastAsia="Calibri" w:cs="Arial"/>
              <w:b w:val="1"/>
              <w:bCs w:val="1"/>
            </w:rPr>
          </w:pPr>
          <w:hyperlink w:anchor="_Toc797968781">
            <w:r w:rsidRPr="7CC7374C" w:rsidR="7CC7374C">
              <w:rPr>
                <w:rStyle w:val="Hyperlink"/>
              </w:rPr>
              <w:t>5</w:t>
            </w:r>
            <w:r>
              <w:tab/>
            </w:r>
            <w:r w:rsidRPr="7CC7374C" w:rsidR="7CC7374C">
              <w:rPr>
                <w:rStyle w:val="Hyperlink"/>
              </w:rPr>
              <w:t>Exceções e Observações</w:t>
            </w:r>
            <w:r>
              <w:tab/>
            </w:r>
            <w:r>
              <w:fldChar w:fldCharType="begin"/>
            </w:r>
            <w:r>
              <w:instrText xml:space="preserve">PAGEREF _Toc797968781 \h</w:instrText>
            </w:r>
            <w:r>
              <w:fldChar w:fldCharType="separate"/>
            </w:r>
            <w:r w:rsidRPr="7CC7374C" w:rsidR="7CC7374C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46CCF040" w:rsidP="46CCF040" w:rsidRDefault="46CCF040" w14:paraId="5396A45C" w14:textId="36BC807F">
          <w:pPr>
            <w:pStyle w:val="Sumrio1"/>
            <w:tabs>
              <w:tab w:val="right" w:leader="dot" w:pos="9630"/>
              <w:tab w:val="left" w:leader="none" w:pos="390"/>
            </w:tabs>
            <w:rPr>
              <w:rFonts w:ascii="Arial" w:hAnsi="Arial" w:eastAsia="Calibri" w:cs="Arial"/>
              <w:b w:val="1"/>
              <w:bCs w:val="1"/>
            </w:rPr>
          </w:pPr>
          <w:hyperlink w:anchor="_Toc1411559624">
            <w:r w:rsidRPr="7CC7374C" w:rsidR="7CC7374C">
              <w:rPr>
                <w:rStyle w:val="Hyperlink"/>
              </w:rPr>
              <w:t>6</w:t>
            </w:r>
            <w:r>
              <w:tab/>
            </w:r>
            <w:r w:rsidRPr="7CC7374C" w:rsidR="7CC7374C">
              <w:rPr>
                <w:rStyle w:val="Hyperlink"/>
              </w:rPr>
              <w:t>Conclusões</w:t>
            </w:r>
            <w:r>
              <w:tab/>
            </w:r>
            <w:r>
              <w:fldChar w:fldCharType="begin"/>
            </w:r>
            <w:r>
              <w:instrText xml:space="preserve">PAGEREF _Toc1411559624 \h</w:instrText>
            </w:r>
            <w:r>
              <w:fldChar w:fldCharType="separate"/>
            </w:r>
            <w:r w:rsidRPr="7CC7374C" w:rsidR="7CC7374C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46CCF040" w:rsidP="46CCF040" w:rsidRDefault="46CCF040" w14:paraId="0BDCA106" w14:textId="4FC82F79">
          <w:pPr>
            <w:pStyle w:val="Sumrio1"/>
            <w:tabs>
              <w:tab w:val="right" w:leader="dot" w:pos="9630"/>
              <w:tab w:val="left" w:leader="none" w:pos="390"/>
            </w:tabs>
            <w:rPr>
              <w:rFonts w:ascii="Arial" w:hAnsi="Arial" w:eastAsia="Calibri" w:cs="Arial"/>
              <w:b w:val="1"/>
              <w:bCs w:val="1"/>
            </w:rPr>
          </w:pPr>
          <w:hyperlink w:anchor="_Toc1778156210">
            <w:r w:rsidRPr="7CC7374C" w:rsidR="7CC7374C">
              <w:rPr>
                <w:rStyle w:val="Hyperlink"/>
              </w:rPr>
              <w:t>7</w:t>
            </w:r>
            <w:r>
              <w:tab/>
            </w:r>
            <w:r w:rsidRPr="7CC7374C" w:rsidR="7CC7374C">
              <w:rPr>
                <w:rStyle w:val="Hyperlink"/>
              </w:rPr>
              <w:t>Referências</w:t>
            </w:r>
            <w:r>
              <w:tab/>
            </w:r>
            <w:r>
              <w:fldChar w:fldCharType="begin"/>
            </w:r>
            <w:r>
              <w:instrText xml:space="preserve">PAGEREF _Toc1778156210 \h</w:instrText>
            </w:r>
            <w:r>
              <w:fldChar w:fldCharType="separate"/>
            </w:r>
            <w:r w:rsidRPr="7CC7374C" w:rsidR="7CC7374C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46CCF040" w:rsidP="46CCF040" w:rsidRDefault="46CCF040" w14:paraId="668DD1DB" w14:textId="09A3AD82">
          <w:pPr>
            <w:pStyle w:val="Sumrio1"/>
            <w:tabs>
              <w:tab w:val="right" w:leader="dot" w:pos="9630"/>
              <w:tab w:val="left" w:leader="none" w:pos="390"/>
            </w:tabs>
            <w:rPr>
              <w:rFonts w:ascii="Arial" w:hAnsi="Arial" w:eastAsia="Calibri" w:cs="Arial"/>
              <w:b w:val="1"/>
              <w:bCs w:val="1"/>
            </w:rPr>
          </w:pPr>
          <w:hyperlink w:anchor="_Toc1439147273">
            <w:r w:rsidRPr="7CC7374C" w:rsidR="7CC7374C">
              <w:rPr>
                <w:rStyle w:val="Hyperlink"/>
              </w:rPr>
              <w:t>8</w:t>
            </w:r>
            <w:r>
              <w:tab/>
            </w:r>
            <w:r w:rsidRPr="7CC7374C" w:rsidR="7CC7374C">
              <w:rPr>
                <w:rStyle w:val="Hyperlink"/>
              </w:rPr>
              <w:t>Apêndice</w:t>
            </w:r>
            <w:r>
              <w:tab/>
            </w:r>
            <w:r>
              <w:fldChar w:fldCharType="begin"/>
            </w:r>
            <w:r>
              <w:instrText xml:space="preserve">PAGEREF _Toc1439147273 \h</w:instrText>
            </w:r>
            <w:r>
              <w:fldChar w:fldCharType="separate"/>
            </w:r>
            <w:r w:rsidRPr="7CC7374C" w:rsidR="7CC7374C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46CCF040" w:rsidP="46CCF040" w:rsidRDefault="46CCF040" w14:paraId="26A96CAE" w14:textId="3C668C64">
          <w:pPr>
            <w:pStyle w:val="Sumrio2"/>
            <w:tabs>
              <w:tab w:val="right" w:leader="dot" w:pos="9630"/>
              <w:tab w:val="left" w:leader="none" w:pos="600"/>
            </w:tabs>
            <w:rPr>
              <w:rFonts w:ascii="Arial" w:hAnsi="Arial" w:eastAsia="Calibri" w:cs="Arial"/>
              <w:b w:val="1"/>
              <w:bCs w:val="1"/>
            </w:rPr>
          </w:pPr>
          <w:hyperlink w:anchor="_Toc340493058">
            <w:r w:rsidRPr="7CC7374C" w:rsidR="7CC7374C">
              <w:rPr>
                <w:rStyle w:val="Hyperlink"/>
              </w:rPr>
              <w:t>8.1</w:t>
            </w:r>
            <w:r>
              <w:tab/>
            </w:r>
            <w:r w:rsidRPr="7CC7374C" w:rsidR="7CC7374C">
              <w:rPr>
                <w:rStyle w:val="Hyperlink"/>
              </w:rPr>
              <w:t>Análise exploratória de dados</w:t>
            </w:r>
            <w:r>
              <w:tab/>
            </w:r>
            <w:r>
              <w:fldChar w:fldCharType="begin"/>
            </w:r>
            <w:r>
              <w:instrText xml:space="preserve">PAGEREF _Toc340493058 \h</w:instrText>
            </w:r>
            <w:r>
              <w:fldChar w:fldCharType="separate"/>
            </w:r>
            <w:r w:rsidRPr="7CC7374C" w:rsidR="7CC7374C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46CCF040" w:rsidP="46CCF040" w:rsidRDefault="46CCF040" w14:paraId="4FF66CFE" w14:textId="41D6E5EC">
          <w:pPr>
            <w:pStyle w:val="Sumrio2"/>
            <w:tabs>
              <w:tab w:val="right" w:leader="dot" w:pos="9630"/>
              <w:tab w:val="left" w:leader="none" w:pos="600"/>
            </w:tabs>
            <w:rPr>
              <w:rFonts w:ascii="Arial" w:hAnsi="Arial" w:eastAsia="Calibri" w:cs="Arial"/>
              <w:b w:val="1"/>
              <w:bCs w:val="1"/>
            </w:rPr>
          </w:pPr>
          <w:hyperlink w:anchor="_Toc1332051331">
            <w:r w:rsidRPr="7CC7374C" w:rsidR="7CC7374C">
              <w:rPr>
                <w:rStyle w:val="Hyperlink"/>
              </w:rPr>
              <w:t>8.2</w:t>
            </w:r>
            <w:r>
              <w:tab/>
            </w:r>
            <w:r w:rsidRPr="7CC7374C" w:rsidR="7CC7374C">
              <w:rPr>
                <w:rStyle w:val="Hyperlink"/>
              </w:rPr>
              <w:t>Dados utilizados</w:t>
            </w:r>
            <w:r>
              <w:tab/>
            </w:r>
            <w:r>
              <w:fldChar w:fldCharType="begin"/>
            </w:r>
            <w:r>
              <w:instrText xml:space="preserve">PAGEREF _Toc1332051331 \h</w:instrText>
            </w:r>
            <w:r>
              <w:fldChar w:fldCharType="separate"/>
            </w:r>
            <w:r w:rsidRPr="7CC7374C" w:rsidR="7CC7374C">
              <w:rPr>
                <w:rStyle w:val="Hyperlink"/>
              </w:rPr>
              <w:t>10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935C65" w:rsidRDefault="00740805" w14:paraId="672A6659" w14:textId="77777777">
      <w:r>
        <w:pict w14:anchorId="23908229">
          <v:rect id="_x0000_i1025" style="width:0;height:1.5pt" o:hr="t" o:hrstd="t" o:hralign="center"/>
        </w:pict>
      </w:r>
    </w:p>
    <w:p w:rsidR="00935C65" w:rsidRDefault="00740805" w14:paraId="20F1ABCC" w14:textId="77777777">
      <w:r>
        <w:rPr>
          <w:b/>
          <w:bCs/>
        </w:rPr>
        <w:t>Histórico do documento</w:t>
      </w:r>
    </w:p>
    <w:tbl>
      <w:tblPr>
        <w:tblStyle w:val="NormalTable0"/>
        <w:tblW w:w="2455" w:type="dxa"/>
        <w:tblLook w:val="0020" w:firstRow="1" w:lastRow="0" w:firstColumn="0" w:lastColumn="0" w:noHBand="0" w:noVBand="0"/>
      </w:tblPr>
      <w:tblGrid>
        <w:gridCol w:w="930"/>
        <w:gridCol w:w="1525"/>
      </w:tblGrid>
      <w:tr w:rsidR="00935C65" w:rsidTr="6B41CBDF" w14:paraId="6619292E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0" w:type="dxa"/>
            <w:tcMar/>
          </w:tcPr>
          <w:p w:rsidR="00935C65" w:rsidRDefault="00740805" w14:paraId="59470D07" w14:textId="77777777">
            <w:pPr>
              <w:jc w:val="left"/>
            </w:pPr>
            <w:r>
              <w:t>Versão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25" w:type="dxa"/>
            <w:tcMar/>
          </w:tcPr>
          <w:p w:rsidR="00935C65" w:rsidRDefault="00740805" w14:paraId="4C614F72" w14:textId="77777777">
            <w:pPr>
              <w:jc w:val="left"/>
            </w:pPr>
            <w:r>
              <w:t>Alterações</w:t>
            </w:r>
          </w:p>
        </w:tc>
      </w:tr>
      <w:tr w:rsidR="00935C65" w:rsidTr="6B41CBDF" w14:paraId="269A8FC8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0" w:type="dxa"/>
            <w:tcMar/>
          </w:tcPr>
          <w:p w:rsidR="00935C65" w:rsidRDefault="00740805" w14:paraId="5B4507BE" w14:textId="77777777">
            <w:pPr>
              <w:jc w:val="left"/>
            </w:pPr>
            <w:r>
              <w:t>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25" w:type="dxa"/>
            <w:tcMar/>
          </w:tcPr>
          <w:p w:rsidR="00935C65" w:rsidRDefault="00740805" w14:paraId="760B3BBA" w14:textId="77777777">
            <w:pPr>
              <w:jc w:val="left"/>
            </w:pPr>
            <w:r>
              <w:t>Versão inicial</w:t>
            </w:r>
          </w:p>
        </w:tc>
      </w:tr>
    </w:tbl>
    <w:p w:rsidR="00935C65" w:rsidRDefault="00740805" w14:paraId="0A37501D" w14:textId="77777777">
      <w:r>
        <w:pict w14:anchorId="661D0D2F">
          <v:rect id="_x0000_i1026" style="width:0;height:1.5pt" o:hr="t" o:hrstd="t" o:hralign="center"/>
        </w:pict>
      </w:r>
    </w:p>
    <w:p w:rsidR="00935C65" w:rsidP="46CCF040" w:rsidRDefault="00740805" w14:paraId="1F4238DB" w14:textId="77777777" w14:noSpellErr="1">
      <w:pPr>
        <w:pStyle w:val="Ttulo1"/>
        <w:rPr/>
      </w:pPr>
      <w:bookmarkStart w:name="lista-de-abreviaturas" w:id="0"/>
      <w:bookmarkStart w:name="_Toc896544998" w:id="110729392"/>
      <w:r w:rsidR="7CC7374C">
        <w:rPr/>
        <w:t>Lista de abreviaturas</w:t>
      </w:r>
      <w:bookmarkEnd w:id="110729392"/>
    </w:p>
    <w:p w:rsidR="00935C65" w:rsidP="46CCF040" w:rsidRDefault="00740805" w14:paraId="28E8BE6E" w14:textId="77777777" w14:noSpellErr="1">
      <w:pPr>
        <w:pStyle w:val="Ttulo1"/>
        <w:rPr/>
      </w:pPr>
      <w:bookmarkStart w:name="introdução" w:id="1"/>
      <w:bookmarkEnd w:id="0"/>
      <w:bookmarkStart w:name="_Toc1471330249" w:id="585143528"/>
      <w:r w:rsidR="7CC7374C">
        <w:rPr/>
        <w:t>Introdução</w:t>
      </w:r>
      <w:bookmarkEnd w:id="585143528"/>
    </w:p>
    <w:p w:rsidR="00935C65" w:rsidP="46CCF040" w:rsidRDefault="00740805" w14:paraId="024AAE2C" w14:textId="77777777" w14:noSpellErr="1">
      <w:pPr>
        <w:pStyle w:val="Ttulo2"/>
        <w:rPr/>
      </w:pPr>
      <w:bookmarkStart w:name="objetivos" w:id="2"/>
      <w:bookmarkStart w:name="_Toc347307460" w:id="1490454749"/>
      <w:r w:rsidR="7CC7374C">
        <w:rPr/>
        <w:t>Objetivos</w:t>
      </w:r>
      <w:bookmarkEnd w:id="1490454749"/>
    </w:p>
    <w:p w:rsidR="00935C65" w:rsidP="46CCF040" w:rsidRDefault="00740805" w14:paraId="37B8DCDB" w14:textId="77777777" w14:noSpellErr="1">
      <w:pPr>
        <w:pStyle w:val="Ttulo2"/>
        <w:rPr/>
      </w:pPr>
      <w:bookmarkStart w:name="recepção-e-tratamento-dos-dados" w:id="3"/>
      <w:bookmarkEnd w:id="2"/>
      <w:bookmarkStart w:name="_Toc1381093948" w:id="1354568628"/>
      <w:r w:rsidR="7CC7374C">
        <w:rPr/>
        <w:t>Recepção e tratamento dos dados</w:t>
      </w:r>
      <w:bookmarkEnd w:id="1354568628"/>
    </w:p>
    <w:p w:rsidR="00935C65" w:rsidP="46CCF040" w:rsidRDefault="00740805" w14:paraId="5329FCD4" w14:textId="77777777" w14:noSpellErr="1">
      <w:pPr>
        <w:pStyle w:val="Ttulo1"/>
        <w:rPr/>
      </w:pPr>
      <w:bookmarkStart w:name="metodologia" w:id="4"/>
      <w:bookmarkEnd w:id="3"/>
      <w:bookmarkEnd w:id="1"/>
      <w:bookmarkStart w:name="_Toc81777933" w:id="954297817"/>
      <w:r w:rsidR="7CC7374C">
        <w:rPr/>
        <w:t>Metodologia</w:t>
      </w:r>
      <w:bookmarkEnd w:id="954297817"/>
    </w:p>
    <w:p w:rsidR="00935C65" w:rsidP="46CCF040" w:rsidRDefault="00740805" w14:paraId="270403D3" w14:textId="77777777" w14:noSpellErr="1">
      <w:pPr>
        <w:pStyle w:val="Ttulo2"/>
        <w:rPr/>
      </w:pPr>
      <w:bookmarkStart w:name="variáveis" w:id="5"/>
      <w:bookmarkStart w:name="_Toc1499008715" w:id="2029538610"/>
      <w:r w:rsidR="7CC7374C">
        <w:rPr/>
        <w:t>Variáveis</w:t>
      </w:r>
      <w:bookmarkEnd w:id="2029538610"/>
    </w:p>
    <w:p w:rsidR="00935C65" w:rsidP="46CCF040" w:rsidRDefault="00740805" w14:paraId="23EF590D" w14:textId="77777777" w14:noSpellErr="1">
      <w:pPr>
        <w:pStyle w:val="Ttulo3"/>
        <w:rPr/>
      </w:pPr>
      <w:bookmarkStart w:name="desfechos-primário-e-secundário" w:id="6"/>
      <w:bookmarkStart w:name="_Toc1073791427" w:id="1412678617"/>
      <w:r w:rsidR="7CC7374C">
        <w:rPr/>
        <w:t>Desfechos primário e secundário</w:t>
      </w:r>
      <w:bookmarkEnd w:id="1412678617"/>
    </w:p>
    <w:p w:rsidR="00935C65" w:rsidP="46CCF040" w:rsidRDefault="00740805" w14:paraId="4C528049" w14:textId="77777777" w14:noSpellErr="1">
      <w:pPr>
        <w:pStyle w:val="Ttulo3"/>
        <w:rPr/>
      </w:pPr>
      <w:bookmarkStart w:name="covariáveis" w:id="7"/>
      <w:bookmarkEnd w:id="6"/>
      <w:bookmarkStart w:name="_Toc837342284" w:id="1833782289"/>
      <w:r w:rsidR="7CC7374C">
        <w:rPr/>
        <w:t>Covariáveis</w:t>
      </w:r>
      <w:bookmarkEnd w:id="1833782289"/>
    </w:p>
    <w:p w:rsidR="00935C65" w:rsidP="46CCF040" w:rsidRDefault="00740805" w14:paraId="17A8361F" w14:textId="77777777" w14:noSpellErr="1">
      <w:pPr>
        <w:pStyle w:val="Ttulo2"/>
        <w:rPr/>
      </w:pPr>
      <w:bookmarkStart w:name="análises-estatísticas" w:id="8"/>
      <w:bookmarkEnd w:id="7"/>
      <w:bookmarkEnd w:id="5"/>
      <w:bookmarkStart w:name="_Toc1776234091" w:id="1748254425"/>
      <w:r w:rsidR="7CC7374C">
        <w:rPr/>
        <w:t>Análises Estatísticas</w:t>
      </w:r>
      <w:bookmarkEnd w:id="1748254425"/>
    </w:p>
    <w:p w:rsidR="00935C65" w:rsidP="46CCF040" w:rsidRDefault="00740805" w14:paraId="4632EF6F" w14:textId="77777777" w14:noSpellErr="1">
      <w:pPr>
        <w:pStyle w:val="Ttulo3"/>
        <w:rPr/>
      </w:pPr>
      <w:bookmarkStart w:name="softwares-utilizados" w:id="9"/>
      <w:bookmarkStart w:name="_Toc32392705" w:id="1180049759"/>
      <w:r w:rsidR="7CC7374C">
        <w:rPr/>
        <w:t>Softwares utilizados</w:t>
      </w:r>
      <w:bookmarkEnd w:id="1180049759"/>
    </w:p>
    <w:p w:rsidR="00935C65" w:rsidRDefault="00740805" w14:paraId="75C90935" w14:textId="77777777">
      <w:r>
        <w:t>Esta análise foi realizada utilizando-se o software R versão 4.1.0.</w:t>
      </w:r>
    </w:p>
    <w:p w:rsidR="00935C65" w:rsidP="46CCF040" w:rsidRDefault="00740805" w14:paraId="24AC79A7" w14:textId="77777777" w14:noSpellErr="1">
      <w:pPr>
        <w:pStyle w:val="Ttulo1"/>
        <w:rPr/>
      </w:pPr>
      <w:bookmarkStart w:name="resultados" w:id="10"/>
      <w:bookmarkEnd w:id="9"/>
      <w:bookmarkEnd w:id="8"/>
      <w:bookmarkEnd w:id="4"/>
      <w:bookmarkStart w:name="_Toc1412914983" w:id="394673420"/>
      <w:r w:rsidR="7CC7374C">
        <w:rPr/>
        <w:t>Resultados</w:t>
      </w:r>
      <w:bookmarkEnd w:id="394673420"/>
    </w:p>
    <w:p w:rsidR="00935C65" w:rsidP="46CCF040" w:rsidRDefault="00740805" w14:paraId="0A509A44" w14:textId="77777777" w14:noSpellErr="1">
      <w:pPr>
        <w:pStyle w:val="Ttulo2"/>
        <w:rPr/>
      </w:pPr>
      <w:bookmarkStart w:name="Xd46044e4496727a4d07220855d5afd39a66f135" w:id="11"/>
      <w:bookmarkStart w:name="_Toc675121623" w:id="2123077762"/>
      <w:r w:rsidR="7CC7374C">
        <w:rPr/>
        <w:t>Perfil epidemiológico dos pacientes em fila de espera de revisão de ATQ</w:t>
      </w:r>
      <w:bookmarkEnd w:id="2123077762"/>
    </w:p>
    <w:p w:rsidR="00935C65" w:rsidRDefault="00740805" w14:paraId="5BE09D1B" w14:textId="77777777">
      <w:r>
        <w:t>Foram coletadas respostas de 58 pacientes que aguardam cirurgia de revisão de ATQ (T</w:t>
      </w:r>
      <w:r>
        <w:t>abela 1). A idade média (DP) é 63 (11) anos. Os níveis de escolaridade mais frequentemente observados foram relativamente baixos com 45 (78%) pessoas possuindo Fundamental incompleto e 11 (19%) pessoas no nível Fundamental completo. Os hábitos de vida comu</w:t>
      </w:r>
      <w:r>
        <w:t>mente associados a comorbidades não foram prevalentes nesta amostra, onde apenas 9 (16%) são fumantes e 2 (3.4%) fazem uso frequente de álcool. A amostra parece ser composta predominantemente por pessoas de baixa renda, pois 46 (79%) possuem renda de até 1</w:t>
      </w:r>
      <w:r>
        <w:t xml:space="preserve"> salário mínimo, seguida de 10 (17%) pessoas recebem de 2 a 5 salários mínimos. A maior parte dos pacientes (90%) é aposentado, sendo a Invalidez a causa apontada em 41 (71%); apenas 6 (10%) pessoas permaneciam em atividade laboral no momento da apresentaç</w:t>
      </w:r>
      <w:r>
        <w:t>ão do questionário.</w:t>
      </w:r>
    </w:p>
    <w:p w:rsidR="00935C65" w:rsidRDefault="00740805" w14:paraId="0717E2D1" w14:textId="77777777">
      <w:pPr>
        <w:pStyle w:val="Corpodetexto"/>
      </w:pPr>
      <w:r w:rsidR="1EE299A1">
        <w:rPr/>
        <w:t>A descrição geral do perfil do paciente que aguarda cirurgia de revisão de ATQ é idosos aposentados por invalidez, com baixa escolaridade (tipicamente Fundamental incompleto) e de baixa renda (até 1 salário mínimo). A distribuição de se</w:t>
      </w:r>
      <w:r w:rsidR="1EE299A1">
        <w:rPr/>
        <w:t>xos na amostra de estudo é uniforme, e as demais características demográficas não apresenta divergências óbvias entre homens e mulheres (Tabela 1).</w:t>
      </w:r>
    </w:p>
    <w:p w:rsidR="1EE299A1" w:rsidP="1EE299A1" w:rsidRDefault="1EE299A1" w14:paraId="5F7A504A" w14:textId="438F8577">
      <w:pPr>
        <w:pStyle w:val="Corpodetexto"/>
        <w:rPr>
          <w:rFonts w:ascii="Arial" w:hAnsi="Arial" w:eastAsia="Calibri" w:cs="Arial"/>
        </w:rPr>
      </w:pPr>
    </w:p>
    <w:p w:rsidR="00935C65" w:rsidRDefault="00740805" w14:paraId="4231F9AE" w14:textId="77777777">
      <w:pPr>
        <w:pStyle w:val="Corpodetexto"/>
      </w:pPr>
      <w:r>
        <w:rPr>
          <w:b/>
          <w:bCs/>
        </w:rPr>
        <w:t>Tabela 1</w:t>
      </w:r>
      <w:r>
        <w:t xml:space="preserve"> Características demográficas dos pacientes que aguardam revisão de ATQ. Total da amostra e estratif</w:t>
      </w:r>
      <w:r>
        <w:t>icação por sexo. p = teste t ou teste exato de Fisher; SM = salário mínimo</w:t>
      </w:r>
    </w:p>
    <w:tbl>
      <w:tblPr>
        <w:tblStyle w:val="NormalTable0"/>
        <w:tblW w:w="0" w:type="pct"/>
        <w:tblLook w:val="0020" w:firstRow="1" w:lastRow="0" w:firstColumn="0" w:lastColumn="0" w:noHBand="0" w:noVBand="0"/>
      </w:tblPr>
      <w:tblGrid>
        <w:gridCol w:w="3040"/>
        <w:gridCol w:w="1400"/>
        <w:gridCol w:w="1089"/>
        <w:gridCol w:w="1045"/>
        <w:gridCol w:w="872"/>
      </w:tblGrid>
      <w:tr w:rsidR="00935C65" w:rsidTr="1EE299A1" w14:paraId="40929C01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53DB9714" w14:textId="77777777">
            <w:pPr>
              <w:jc w:val="left"/>
            </w:pPr>
            <w:r>
              <w:rPr>
                <w:b/>
                <w:bCs/>
              </w:rPr>
              <w:t>Características dos pacientes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0385C52A" w14:textId="77777777">
            <w:pPr>
              <w:jc w:val="center"/>
            </w:pPr>
            <w:r>
              <w:rPr>
                <w:b/>
                <w:bCs/>
              </w:rPr>
              <w:t>Total</w:t>
            </w:r>
            <w:r>
              <w:t>, N = 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1783025C" w14:textId="77777777">
            <w:pPr>
              <w:jc w:val="left"/>
            </w:pPr>
            <w:r>
              <w:rPr>
                <w:b/>
                <w:bCs/>
              </w:rPr>
              <w:t>M</w:t>
            </w:r>
            <w:r>
              <w:t>, N = 31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03F0C861" w14:textId="77777777">
            <w:pPr>
              <w:jc w:val="center"/>
            </w:pPr>
            <w:r>
              <w:rPr>
                <w:b/>
                <w:bCs/>
              </w:rPr>
              <w:t>F</w:t>
            </w:r>
            <w:r>
              <w:t>, N = 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12D38F93" w14:textId="77777777">
            <w:pPr>
              <w:jc w:val="left"/>
            </w:pPr>
            <w:r>
              <w:rPr>
                <w:b/>
                <w:bCs/>
              </w:rPr>
              <w:t>valor p</w:t>
            </w:r>
          </w:p>
        </w:tc>
      </w:tr>
      <w:tr w:rsidR="00935C65" w:rsidTr="1EE299A1" w14:paraId="65D4B869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0CBA1085" w14:textId="77777777">
            <w:pPr>
              <w:jc w:val="left"/>
            </w:pPr>
            <w:r>
              <w:rPr>
                <w:b/>
                <w:bCs/>
              </w:rPr>
              <w:t>Idade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25C6E835" w14:textId="77777777">
            <w:pPr>
              <w:jc w:val="center"/>
            </w:pPr>
            <w:r>
              <w:t>63 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51733807" w14:textId="77777777">
            <w:pPr>
              <w:jc w:val="left"/>
            </w:pPr>
            <w:r>
              <w:t>64 (11)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1344AE3E" w14:textId="77777777">
            <w:pPr>
              <w:jc w:val="center"/>
            </w:pPr>
            <w:r>
              <w:t>62 (11)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420168B5" w14:textId="77777777">
            <w:pPr>
              <w:jc w:val="left"/>
            </w:pPr>
            <w:r>
              <w:t>0.7</w:t>
            </w:r>
          </w:p>
        </w:tc>
      </w:tr>
      <w:tr w:rsidR="00935C65" w:rsidTr="1EE299A1" w14:paraId="56558C0B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1B23BA78" w14:textId="77777777">
            <w:pPr>
              <w:jc w:val="left"/>
            </w:pPr>
            <w:r>
              <w:rPr>
                <w:b/>
                <w:bCs/>
              </w:rPr>
              <w:t>Escolaridade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935C65" w14:paraId="5DAB6C7B" w14:textId="77777777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935C65" w14:paraId="02EB378F" w14:textId="7777777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935C65" w14:paraId="6A05A809" w14:textId="77777777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45C6D218" w14:textId="77777777">
            <w:pPr>
              <w:jc w:val="left"/>
            </w:pPr>
            <w:r>
              <w:t>0.4</w:t>
            </w:r>
          </w:p>
        </w:tc>
      </w:tr>
      <w:tr w:rsidR="00935C65" w:rsidTr="1EE299A1" w14:paraId="4D614ED0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2A9E3FD6" w14:textId="77777777">
            <w:pPr>
              <w:jc w:val="left"/>
            </w:pPr>
            <w:r>
              <w:t>Fund. incompleto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06E919E3" w14:textId="77777777">
            <w:pPr>
              <w:jc w:val="center"/>
            </w:pPr>
            <w:r>
              <w:t>45 (78%)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090C3941" w14:textId="77777777">
            <w:pPr>
              <w:jc w:val="left"/>
            </w:pPr>
            <w:r>
              <w:t>26 (84%)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03704CFC" w14:textId="77777777">
            <w:pPr>
              <w:jc w:val="center"/>
            </w:pPr>
            <w:r>
              <w:t>19 (70%)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935C65" w14:paraId="5A39BBE3" w14:textId="77777777"/>
        </w:tc>
      </w:tr>
      <w:tr w:rsidR="00935C65" w:rsidTr="1EE299A1" w14:paraId="2EAB5E24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11F71273" w14:textId="77777777">
            <w:pPr>
              <w:jc w:val="left"/>
            </w:pPr>
            <w:r>
              <w:t>Fundamental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336A4B1F" w14:textId="77777777">
            <w:pPr>
              <w:jc w:val="center"/>
            </w:pPr>
            <w:r>
              <w:t>11 (19%)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20B088BD" w14:textId="77777777">
            <w:pPr>
              <w:jc w:val="left"/>
            </w:pPr>
            <w:r>
              <w:t>5 (16%)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768570E5" w14:textId="77777777">
            <w:pPr>
              <w:jc w:val="center"/>
            </w:pPr>
            <w:r>
              <w:t>6 (22%)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935C65" w14:paraId="41C8F396" w14:textId="77777777"/>
        </w:tc>
      </w:tr>
      <w:tr w:rsidR="00935C65" w:rsidTr="1EE299A1" w14:paraId="5A1A92B4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28531EB8" w14:textId="77777777">
            <w:pPr>
              <w:jc w:val="left"/>
            </w:pPr>
            <w:r>
              <w:t>Médio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48AEB801" w14:textId="77777777">
            <w:pPr>
              <w:jc w:val="center"/>
            </w:pPr>
            <w:r>
              <w:t>1 (1.7%)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598F115D" w14:textId="77777777">
            <w:pPr>
              <w:jc w:val="left"/>
            </w:pPr>
            <w:r>
              <w:t>0 (0%)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5F1FCE26" w14:textId="77777777">
            <w:pPr>
              <w:jc w:val="center"/>
            </w:pPr>
            <w:r>
              <w:t>1 (3.7%)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935C65" w14:paraId="72A3D3EC" w14:textId="77777777"/>
        </w:tc>
      </w:tr>
      <w:tr w:rsidR="00935C65" w:rsidTr="1EE299A1" w14:paraId="02E14B85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40DA79E5" w14:textId="77777777">
            <w:pPr>
              <w:jc w:val="left"/>
            </w:pPr>
            <w:r>
              <w:t>Superior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41AEE05D" w14:textId="77777777">
            <w:pPr>
              <w:jc w:val="center"/>
            </w:pPr>
            <w:r>
              <w:t>1 (1.7%)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671DD57F" w14:textId="77777777">
            <w:pPr>
              <w:jc w:val="left"/>
            </w:pPr>
            <w:r>
              <w:t>0 (0%)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4FC386ED" w14:textId="77777777">
            <w:pPr>
              <w:jc w:val="center"/>
            </w:pPr>
            <w:r>
              <w:t>1 (3.7%)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935C65" w14:paraId="0D0B940D" w14:textId="77777777"/>
        </w:tc>
      </w:tr>
      <w:tr w:rsidR="00935C65" w:rsidTr="1EE299A1" w14:paraId="548B7D71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2094C273" w14:textId="77777777">
            <w:pPr>
              <w:jc w:val="left"/>
            </w:pPr>
            <w:r>
              <w:t>Não alfabetizado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35A7E2A6" w14:textId="77777777">
            <w:pPr>
              <w:jc w:val="center"/>
            </w:pPr>
            <w:r>
              <w:t>0 (0%)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2BAA7E15" w14:textId="77777777">
            <w:pPr>
              <w:jc w:val="left"/>
            </w:pPr>
            <w:r>
              <w:t>0 (0%)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49AD107A" w14:textId="77777777">
            <w:pPr>
              <w:jc w:val="center"/>
            </w:pPr>
            <w:r>
              <w:t>0 (0%)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935C65" w14:paraId="0E27B00A" w14:textId="77777777"/>
        </w:tc>
      </w:tr>
      <w:tr w:rsidR="00935C65" w:rsidTr="1EE299A1" w14:paraId="5FC71A4B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0C2C8209" w14:textId="77777777">
            <w:pPr>
              <w:jc w:val="left"/>
            </w:pPr>
            <w:r>
              <w:t>Méd. incompleto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3EBA4C29" w14:textId="77777777">
            <w:pPr>
              <w:jc w:val="center"/>
            </w:pPr>
            <w:r>
              <w:t>0 (0%)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22DA2E95" w14:textId="77777777">
            <w:pPr>
              <w:jc w:val="left"/>
            </w:pPr>
            <w:r>
              <w:t>0 (0%)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6828ED2D" w14:textId="77777777">
            <w:pPr>
              <w:jc w:val="center"/>
            </w:pPr>
            <w:r>
              <w:t>0 (0%)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935C65" w14:paraId="60061E4C" w14:textId="77777777"/>
        </w:tc>
      </w:tr>
      <w:tr w:rsidR="00935C65" w:rsidTr="1EE299A1" w14:paraId="753587AC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5B6087C6" w14:textId="77777777">
            <w:pPr>
              <w:jc w:val="left"/>
            </w:pPr>
            <w:r>
              <w:t>Sup. incompleto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7207D8CF" w14:textId="77777777">
            <w:pPr>
              <w:jc w:val="center"/>
            </w:pPr>
            <w:r>
              <w:t>0 (0%)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6A48E1EA" w14:textId="77777777">
            <w:pPr>
              <w:jc w:val="left"/>
            </w:pPr>
            <w:r>
              <w:t>0 (0%)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00594D4E" w14:textId="77777777">
            <w:pPr>
              <w:jc w:val="center"/>
            </w:pPr>
            <w:r>
              <w:t>0 (0%)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935C65" w14:paraId="44EAFD9C" w14:textId="77777777"/>
        </w:tc>
      </w:tr>
      <w:tr w:rsidR="00935C65" w:rsidTr="1EE299A1" w14:paraId="4148D3C2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7E1D348D" w14:textId="77777777">
            <w:pPr>
              <w:jc w:val="left"/>
            </w:pPr>
            <w:r>
              <w:rPr>
                <w:b/>
                <w:bCs/>
              </w:rPr>
              <w:t>Tabagismo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3B911A78" w14:textId="77777777">
            <w:pPr>
              <w:jc w:val="center"/>
            </w:pPr>
            <w:r>
              <w:t>9 (16%)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06120223" w14:textId="77777777">
            <w:pPr>
              <w:jc w:val="left"/>
            </w:pPr>
            <w:r>
              <w:t>6 (19%)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7A3E9D4F" w14:textId="77777777">
            <w:pPr>
              <w:jc w:val="center"/>
            </w:pPr>
            <w:r>
              <w:t>3 (11%)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221320B8" w14:textId="77777777">
            <w:pPr>
              <w:jc w:val="left"/>
            </w:pPr>
            <w:r>
              <w:t>0.5</w:t>
            </w:r>
          </w:p>
        </w:tc>
      </w:tr>
      <w:tr w:rsidR="00935C65" w:rsidTr="1EE299A1" w14:paraId="48112BB4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0DE6F2B7" w14:textId="77777777">
            <w:pPr>
              <w:jc w:val="left"/>
            </w:pPr>
            <w:r>
              <w:rPr>
                <w:b/>
                <w:bCs/>
              </w:rPr>
              <w:t>Etilismo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6F3B8834" w14:textId="77777777">
            <w:pPr>
              <w:jc w:val="center"/>
            </w:pPr>
            <w:r>
              <w:t>2 (3.4%)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4D1E8E72" w14:textId="77777777">
            <w:pPr>
              <w:jc w:val="left"/>
            </w:pPr>
            <w:r>
              <w:t>1 (3.2%)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7D44CD26" w14:textId="77777777">
            <w:pPr>
              <w:jc w:val="center"/>
            </w:pPr>
            <w:r>
              <w:t>1 (3.7%)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0F431B8D" w14:textId="77777777">
            <w:pPr>
              <w:jc w:val="left"/>
            </w:pPr>
            <w:r>
              <w:t>&gt;0.9</w:t>
            </w:r>
          </w:p>
        </w:tc>
      </w:tr>
      <w:tr w:rsidR="00935C65" w:rsidTr="1EE299A1" w14:paraId="01C17180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26708431" w14:textId="77777777">
            <w:pPr>
              <w:jc w:val="left"/>
            </w:pPr>
            <w:r>
              <w:rPr>
                <w:b/>
                <w:bCs/>
              </w:rPr>
              <w:t>Aposentadoria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935C65" w14:paraId="4B94D5A5" w14:textId="77777777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935C65" w14:paraId="3DEEC669" w14:textId="7777777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935C65" w14:paraId="3656B9AB" w14:textId="77777777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2C272389" w14:textId="77777777">
            <w:pPr>
              <w:jc w:val="left"/>
            </w:pPr>
            <w:r>
              <w:t>0.3</w:t>
            </w:r>
          </w:p>
        </w:tc>
      </w:tr>
      <w:tr w:rsidR="00935C65" w:rsidTr="1EE299A1" w14:paraId="7114D437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0789E073" w14:textId="77777777">
            <w:pPr>
              <w:jc w:val="left"/>
            </w:pPr>
            <w:r>
              <w:t>Invalidez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46BE3C97" w14:textId="77777777">
            <w:pPr>
              <w:jc w:val="center"/>
            </w:pPr>
            <w:r>
              <w:t>41 (71%)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2BF2B293" w14:textId="77777777">
            <w:pPr>
              <w:jc w:val="left"/>
            </w:pPr>
            <w:r>
              <w:t>25 (81%)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76E9003D" w14:textId="77777777">
            <w:pPr>
              <w:jc w:val="center"/>
            </w:pPr>
            <w:r>
              <w:t>16 (59%)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935C65" w14:paraId="45FB0818" w14:textId="77777777"/>
        </w:tc>
      </w:tr>
      <w:tr w:rsidR="00935C65" w:rsidTr="1EE299A1" w14:paraId="2E5CD7B5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17510460" w14:textId="77777777">
            <w:pPr>
              <w:jc w:val="left"/>
            </w:pPr>
            <w:r>
              <w:t>Tempo De Serviço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25B544AB" w14:textId="77777777">
            <w:pPr>
              <w:jc w:val="center"/>
            </w:pPr>
            <w:r>
              <w:t>10 (17%)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0026F9C8" w14:textId="77777777">
            <w:pPr>
              <w:jc w:val="left"/>
            </w:pPr>
            <w:r>
              <w:t>4 (13%)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6B43D721" w14:textId="77777777">
            <w:pPr>
              <w:jc w:val="center"/>
            </w:pPr>
            <w:r>
              <w:t>6 (22%)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935C65" w14:paraId="049F31CB" w14:textId="77777777"/>
        </w:tc>
      </w:tr>
      <w:tr w:rsidR="00935C65" w:rsidTr="1EE299A1" w14:paraId="44E12F49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43AB6461" w14:textId="77777777">
            <w:pPr>
              <w:jc w:val="left"/>
            </w:pPr>
            <w:r>
              <w:t>Trabalhando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2D346B9D" w14:textId="77777777">
            <w:pPr>
              <w:jc w:val="center"/>
            </w:pPr>
            <w:r>
              <w:t>6 (10%)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242730A2" w14:textId="77777777">
            <w:pPr>
              <w:jc w:val="left"/>
            </w:pPr>
            <w:r>
              <w:t>2 (6.5%)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3E567F08" w14:textId="77777777">
            <w:pPr>
              <w:jc w:val="center"/>
            </w:pPr>
            <w:r>
              <w:t>4 (15%)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935C65" w14:paraId="53128261" w14:textId="77777777"/>
        </w:tc>
      </w:tr>
      <w:tr w:rsidR="00935C65" w:rsidTr="1EE299A1" w14:paraId="00B455E6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74C1502E" w14:textId="77777777">
            <w:pPr>
              <w:jc w:val="left"/>
            </w:pPr>
            <w:r>
              <w:t>Pensionista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7C952B69" w14:textId="77777777">
            <w:pPr>
              <w:jc w:val="center"/>
            </w:pPr>
            <w:r>
              <w:t>1 (1.7%)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1AAAE392" w14:textId="77777777">
            <w:pPr>
              <w:jc w:val="left"/>
            </w:pPr>
            <w:r>
              <w:t>0 (0%)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03E6A20E" w14:textId="77777777">
            <w:pPr>
              <w:jc w:val="center"/>
            </w:pPr>
            <w:r>
              <w:t>1 (3.7%)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935C65" w14:paraId="62486C05" w14:textId="77777777"/>
        </w:tc>
      </w:tr>
      <w:tr w:rsidR="00935C65" w:rsidTr="1EE299A1" w14:paraId="557B586C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7099A374" w14:textId="77777777">
            <w:pPr>
              <w:jc w:val="left"/>
            </w:pPr>
            <w:r>
              <w:rPr>
                <w:b/>
                <w:bCs/>
              </w:rPr>
              <w:t>Renda familiar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935C65" w14:paraId="4101652C" w14:textId="77777777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935C65" w14:paraId="4B99056E" w14:textId="7777777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935C65" w14:paraId="1299C43A" w14:textId="77777777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1C9F3358" w14:textId="77777777">
            <w:pPr>
              <w:jc w:val="left"/>
            </w:pPr>
            <w:r>
              <w:t>0.3</w:t>
            </w:r>
          </w:p>
        </w:tc>
      </w:tr>
      <w:tr w:rsidR="00935C65" w:rsidTr="1EE299A1" w14:paraId="17D10DA7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4F24AFCF" w14:textId="77777777">
            <w:pPr>
              <w:jc w:val="left"/>
            </w:pPr>
            <w:r>
              <w:t>Até 1 SM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3603A650" w14:textId="77777777">
            <w:pPr>
              <w:jc w:val="center"/>
            </w:pPr>
            <w:r>
              <w:t>46 (79%)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6A35A606" w14:textId="77777777">
            <w:pPr>
              <w:jc w:val="left"/>
            </w:pPr>
            <w:r>
              <w:t>27 (87%)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2A3C71D3" w14:textId="77777777">
            <w:pPr>
              <w:jc w:val="center"/>
            </w:pPr>
            <w:r>
              <w:t>19 (70%)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935C65" w14:paraId="4DDBEF00" w14:textId="77777777"/>
        </w:tc>
      </w:tr>
      <w:tr w:rsidR="00935C65" w:rsidTr="1EE299A1" w14:paraId="58123704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0BF85E34" w14:textId="77777777">
            <w:pPr>
              <w:jc w:val="left"/>
            </w:pPr>
            <w:r>
              <w:t>2 a 5 SM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3917FFB1" w14:textId="77777777">
            <w:pPr>
              <w:jc w:val="center"/>
            </w:pPr>
            <w:r>
              <w:t>10 (17%)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72CD227E" w14:textId="77777777">
            <w:pPr>
              <w:jc w:val="left"/>
            </w:pPr>
            <w:r>
              <w:t>3 (9.7%)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518B2586" w14:textId="77777777">
            <w:pPr>
              <w:jc w:val="center"/>
            </w:pPr>
            <w:r>
              <w:t>7 (26%)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935C65" w14:paraId="3461D779" w14:textId="77777777"/>
        </w:tc>
      </w:tr>
      <w:tr w:rsidR="00935C65" w:rsidTr="1EE299A1" w14:paraId="121BE012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596F429E" w14:textId="77777777">
            <w:pPr>
              <w:jc w:val="left"/>
            </w:pPr>
            <w:r>
              <w:t>Mais que 5 SM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473DAAEE" w14:textId="77777777">
            <w:pPr>
              <w:jc w:val="center"/>
            </w:pPr>
            <w:r>
              <w:t>2 (3.4%)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2D490F07" w14:textId="77777777">
            <w:pPr>
              <w:jc w:val="left"/>
            </w:pPr>
            <w:r>
              <w:t>1 (3.2%)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4BC95D27" w14:textId="77777777">
            <w:pPr>
              <w:jc w:val="center"/>
            </w:pPr>
            <w:r>
              <w:t>1 (3.7%)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935C65" w14:paraId="3CF2D8B6" w14:textId="77777777"/>
        </w:tc>
      </w:tr>
    </w:tbl>
    <w:p w:rsidR="1EE299A1" w:rsidP="1EE299A1" w:rsidRDefault="1EE299A1" w14:paraId="7429B937" w14:textId="5C75E353">
      <w:pPr>
        <w:pStyle w:val="Corpodetexto"/>
      </w:pPr>
    </w:p>
    <w:p w:rsidR="00935C65" w:rsidRDefault="00740805" w14:paraId="67FB1785" w14:textId="77777777">
      <w:pPr>
        <w:pStyle w:val="Corpodetexto"/>
      </w:pPr>
      <w:r>
        <w:t>A tabela 2 mostra as características clínicas basais dos pacientes. As ATQs foram realizadas para resolver principalmente coxartroses ou fraturas. Dos 58 pacientes investigados 29 (50%) tinham coxartrose e 19 (33%) tinham fratura. A deambulação foi por ben</w:t>
      </w:r>
      <w:r>
        <w:t>gala em 40 (69%) pessoas.</w:t>
      </w:r>
    </w:p>
    <w:p w:rsidR="00935C65" w:rsidRDefault="00740805" w14:paraId="50806307" w14:textId="77777777">
      <w:pPr>
        <w:pStyle w:val="Corpodetexto"/>
      </w:pPr>
      <w:r>
        <w:t>Mais de 80% dos pacientes atualmente na fila já realizaram pelo menos uma revisão de quadril. 22 (56%) pessoas já tendo realizado duas revisões e 13 (33%) pessoas com uma única revisão. O motivo mais prevalente das revisões prévia</w:t>
      </w:r>
      <w:r>
        <w:t>s foi a Soltura Asséptica Acetabular que ocorreu em 23 (66%) pacientes (Tabela 2).</w:t>
      </w:r>
    </w:p>
    <w:p w:rsidR="00935C65" w:rsidRDefault="00740805" w14:paraId="178A6290" w14:textId="77777777">
      <w:pPr>
        <w:pStyle w:val="Corpodetexto"/>
      </w:pPr>
      <w:r w:rsidR="1EE299A1">
        <w:rPr/>
        <w:t xml:space="preserve">A descrição geral das características clínicas basais do paciente que aguarda cirurgia de revisão de ATQ é de pacientes que já realizaram pelo menos uma revisão por Soltura </w:t>
      </w:r>
      <w:r w:rsidR="1EE299A1">
        <w:rPr/>
        <w:t>Asséptica Acetabular da ATQ, que originalmente foi realizada por coxartrose ou fratura. Sua deambulação frequentemente foi feita com uso de bengala ou livre.</w:t>
      </w:r>
    </w:p>
    <w:p w:rsidR="1EE299A1" w:rsidP="1EE299A1" w:rsidRDefault="1EE299A1" w14:paraId="4D28385E" w14:textId="1C201918">
      <w:pPr>
        <w:pStyle w:val="Corpodetexto"/>
        <w:rPr>
          <w:rFonts w:ascii="Arial" w:hAnsi="Arial" w:eastAsia="Calibri" w:cs="Arial"/>
        </w:rPr>
      </w:pPr>
    </w:p>
    <w:p w:rsidR="00935C65" w:rsidRDefault="00740805" w14:paraId="774BB8CB" w14:textId="77777777">
      <w:pPr>
        <w:pStyle w:val="Corpodetexto"/>
      </w:pPr>
      <w:r>
        <w:rPr>
          <w:b/>
          <w:bCs/>
        </w:rPr>
        <w:t>Tabela 2</w:t>
      </w:r>
      <w:r>
        <w:t xml:space="preserve"> Características clínicas basais, relativas à ATQ. Dados relativos a eventos anteriores à </w:t>
      </w:r>
      <w:r>
        <w:t>indicação da revisão em espera.</w:t>
      </w:r>
    </w:p>
    <w:tbl>
      <w:tblPr>
        <w:tblStyle w:val="NormalTable0"/>
        <w:tblW w:w="0" w:type="pct"/>
        <w:tblLook w:val="0020" w:firstRow="1" w:lastRow="0" w:firstColumn="0" w:lastColumn="0" w:noHBand="0" w:noVBand="0"/>
      </w:tblPr>
      <w:tblGrid>
        <w:gridCol w:w="3728"/>
        <w:gridCol w:w="1028"/>
      </w:tblGrid>
      <w:tr w:rsidR="00935C65" w:rsidTr="1EE299A1" w14:paraId="3EC10692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14F153A9" w14:textId="77777777">
            <w:pPr>
              <w:jc w:val="left"/>
            </w:pPr>
            <w:r>
              <w:rPr>
                <w:b/>
                <w:bCs/>
              </w:rPr>
              <w:t>Características dos pacientes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051BB6A8" w14:textId="77777777">
            <w:pPr>
              <w:jc w:val="center"/>
            </w:pPr>
            <w:r>
              <w:rPr>
                <w:b/>
                <w:bCs/>
              </w:rPr>
              <w:t>N = 58</w:t>
            </w:r>
          </w:p>
        </w:tc>
      </w:tr>
      <w:tr w:rsidR="00935C65" w:rsidTr="1EE299A1" w14:paraId="35794849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0C0D2E2B" w14:textId="77777777">
            <w:pPr>
              <w:jc w:val="left"/>
            </w:pPr>
            <w:r>
              <w:rPr>
                <w:b/>
                <w:bCs/>
              </w:rPr>
              <w:t>Motivo da ATQ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935C65" w14:paraId="0FB78278" w14:textId="77777777"/>
        </w:tc>
      </w:tr>
      <w:tr w:rsidR="00935C65" w:rsidTr="1EE299A1" w14:paraId="4AA717D4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03D51847" w14:textId="77777777">
            <w:pPr>
              <w:jc w:val="left"/>
            </w:pPr>
            <w:r>
              <w:t>Coxartrose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2B1E586C" w14:textId="77777777">
            <w:pPr>
              <w:jc w:val="center"/>
            </w:pPr>
            <w:r>
              <w:t>29 (50%)</w:t>
            </w:r>
          </w:p>
        </w:tc>
      </w:tr>
      <w:tr w:rsidR="00935C65" w:rsidTr="1EE299A1" w14:paraId="1DDBE4DB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17B629F0" w14:textId="77777777">
            <w:pPr>
              <w:jc w:val="left"/>
            </w:pPr>
            <w:r>
              <w:t>Fraturas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0D5ECD74" w14:textId="77777777">
            <w:pPr>
              <w:jc w:val="center"/>
            </w:pPr>
            <w:r>
              <w:t>19 (33%)</w:t>
            </w:r>
          </w:p>
        </w:tc>
      </w:tr>
      <w:tr w:rsidR="00935C65" w:rsidTr="1EE299A1" w14:paraId="6432B88E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3791447C" w14:textId="77777777">
            <w:pPr>
              <w:jc w:val="left"/>
            </w:pPr>
            <w:r>
              <w:t>Outros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5758B400" w14:textId="77777777">
            <w:pPr>
              <w:jc w:val="center"/>
            </w:pPr>
            <w:r>
              <w:t>7 (12%)</w:t>
            </w:r>
          </w:p>
        </w:tc>
      </w:tr>
      <w:tr w:rsidR="00935C65" w:rsidTr="1EE299A1" w14:paraId="358E586C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442A408B" w14:textId="77777777">
            <w:pPr>
              <w:jc w:val="left"/>
            </w:pPr>
            <w:r>
              <w:t>Displasia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196D65F1" w14:textId="77777777">
            <w:pPr>
              <w:jc w:val="center"/>
            </w:pPr>
            <w:r>
              <w:t>2 (3.4%)</w:t>
            </w:r>
          </w:p>
        </w:tc>
      </w:tr>
      <w:tr w:rsidR="00935C65" w:rsidTr="1EE299A1" w14:paraId="4491EBE7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48BBA238" w14:textId="77777777">
            <w:pPr>
              <w:jc w:val="left"/>
            </w:pPr>
            <w:r>
              <w:t>Osteonecrose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143646FE" w14:textId="77777777">
            <w:pPr>
              <w:jc w:val="center"/>
            </w:pPr>
            <w:r>
              <w:t>1 (1.7%)</w:t>
            </w:r>
          </w:p>
        </w:tc>
      </w:tr>
      <w:tr w:rsidR="00935C65" w:rsidTr="1EE299A1" w14:paraId="6465600F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564C7F5A" w14:textId="77777777">
            <w:pPr>
              <w:jc w:val="left"/>
            </w:pPr>
            <w:r>
              <w:rPr>
                <w:b/>
                <w:bCs/>
              </w:rPr>
              <w:t>Deambulação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935C65" w14:paraId="1FC39945" w14:textId="77777777"/>
        </w:tc>
      </w:tr>
      <w:tr w:rsidR="00935C65" w:rsidTr="1EE299A1" w14:paraId="085B6E8E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3F52C175" w14:textId="77777777">
            <w:pPr>
              <w:jc w:val="left"/>
            </w:pPr>
            <w:r>
              <w:t>Bengala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02F140A4" w14:textId="77777777">
            <w:pPr>
              <w:jc w:val="center"/>
            </w:pPr>
            <w:r>
              <w:t>40 (69%)</w:t>
            </w:r>
          </w:p>
        </w:tc>
      </w:tr>
      <w:tr w:rsidR="00935C65" w:rsidTr="1EE299A1" w14:paraId="45CFE591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7F4146B5" w14:textId="77777777">
            <w:pPr>
              <w:jc w:val="left"/>
            </w:pPr>
            <w:r>
              <w:t>Livre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29303EF6" w14:textId="77777777">
            <w:pPr>
              <w:jc w:val="center"/>
            </w:pPr>
            <w:r>
              <w:t>7 (12%)</w:t>
            </w:r>
          </w:p>
        </w:tc>
      </w:tr>
      <w:tr w:rsidR="00935C65" w:rsidTr="1EE299A1" w14:paraId="5227D300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1DB2575C" w14:textId="77777777">
            <w:pPr>
              <w:jc w:val="left"/>
            </w:pPr>
            <w:r>
              <w:t>Andador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178936C1" w14:textId="77777777">
            <w:pPr>
              <w:jc w:val="center"/>
            </w:pPr>
            <w:r>
              <w:t>6 (10%)</w:t>
            </w:r>
          </w:p>
        </w:tc>
      </w:tr>
      <w:tr w:rsidR="00935C65" w:rsidTr="1EE299A1" w14:paraId="7EE726C5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6F20BD6D" w14:textId="77777777">
            <w:pPr>
              <w:jc w:val="left"/>
            </w:pPr>
            <w:r>
              <w:t>Cadeira de rodas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32A3A13E" w14:textId="77777777">
            <w:pPr>
              <w:jc w:val="center"/>
            </w:pPr>
            <w:r>
              <w:t>5 (8.6%)</w:t>
            </w:r>
          </w:p>
        </w:tc>
      </w:tr>
      <w:tr w:rsidR="00935C65" w:rsidTr="1EE299A1" w14:paraId="2A6CC1B6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46B46526" w14:textId="77777777">
            <w:pPr>
              <w:jc w:val="left"/>
            </w:pPr>
            <w:r>
              <w:t>Leito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4B1CE999" w14:textId="77777777">
            <w:pPr>
              <w:jc w:val="center"/>
            </w:pPr>
            <w:r>
              <w:t>0 (0%)</w:t>
            </w:r>
          </w:p>
        </w:tc>
      </w:tr>
      <w:tr w:rsidR="00935C65" w:rsidTr="1EE299A1" w14:paraId="28ED9DCA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214D3066" w14:textId="77777777">
            <w:pPr>
              <w:jc w:val="left"/>
            </w:pPr>
            <w:r>
              <w:rPr>
                <w:b/>
                <w:bCs/>
              </w:rPr>
              <w:t>Revisões prévias de quadril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935C65" w14:paraId="0562CB0E" w14:textId="77777777"/>
        </w:tc>
      </w:tr>
      <w:tr w:rsidR="00935C65" w:rsidTr="1EE299A1" w14:paraId="057F540F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4B584315" w14:textId="77777777">
            <w:pPr>
              <w:jc w:val="left"/>
            </w:pPr>
            <w: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73797ED0" w14:textId="77777777">
            <w:pPr>
              <w:jc w:val="center"/>
            </w:pPr>
            <w:r>
              <w:t>4 (10%)</w:t>
            </w:r>
          </w:p>
        </w:tc>
      </w:tr>
      <w:tr w:rsidR="00935C65" w:rsidTr="1EE299A1" w14:paraId="0712F07C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649841BE" w14:textId="77777777">
            <w:pPr>
              <w:jc w:val="left"/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00D473B3" w14:textId="77777777">
            <w:pPr>
              <w:jc w:val="center"/>
            </w:pPr>
            <w:r>
              <w:t>13 (33%)</w:t>
            </w:r>
          </w:p>
        </w:tc>
      </w:tr>
      <w:tr w:rsidR="00935C65" w:rsidTr="1EE299A1" w14:paraId="6596B69F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18F999B5" w14:textId="77777777">
            <w:pPr>
              <w:jc w:val="left"/>
            </w:pPr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27B3284F" w14:textId="77777777">
            <w:pPr>
              <w:jc w:val="center"/>
            </w:pPr>
            <w:r>
              <w:t>22 (56%)</w:t>
            </w:r>
          </w:p>
        </w:tc>
      </w:tr>
      <w:tr w:rsidR="00935C65" w:rsidTr="1EE299A1" w14:paraId="0153EFA8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5E0EE561" w14:textId="77777777">
            <w:pPr>
              <w:jc w:val="left"/>
            </w:pPr>
            <w:r>
              <w:t>Desconhecido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2847A633" w14:textId="77777777">
            <w:pPr>
              <w:jc w:val="center"/>
            </w:pPr>
            <w:r>
              <w:t>19</w:t>
            </w:r>
          </w:p>
        </w:tc>
      </w:tr>
      <w:tr w:rsidR="00935C65" w:rsidTr="1EE299A1" w14:paraId="1D0FB4C8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570385EA" w14:textId="77777777">
            <w:pPr>
              <w:jc w:val="left"/>
            </w:pPr>
            <w:r>
              <w:rPr>
                <w:b/>
                <w:bCs/>
              </w:rPr>
              <w:t>Motivo de revisões prévias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935C65" w14:paraId="34CE0A41" w14:textId="77777777"/>
        </w:tc>
      </w:tr>
      <w:tr w:rsidR="00935C65" w:rsidTr="1EE299A1" w14:paraId="0529D098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534458D7" w14:textId="77777777">
            <w:pPr>
              <w:jc w:val="left"/>
            </w:pPr>
            <w:r>
              <w:t>Soltura Asséptica Acetabular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25EE6A7F" w14:textId="77777777">
            <w:pPr>
              <w:jc w:val="center"/>
            </w:pPr>
            <w:r>
              <w:t>23 (66%)</w:t>
            </w:r>
          </w:p>
        </w:tc>
      </w:tr>
      <w:tr w:rsidR="00935C65" w:rsidTr="1EE299A1" w14:paraId="54E80C81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7D8E1B57" w14:textId="77777777">
            <w:pPr>
              <w:jc w:val="left"/>
            </w:pPr>
            <w:r>
              <w:t>Soltura Asséptica de Ambos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4615AF14" w14:textId="77777777">
            <w:pPr>
              <w:jc w:val="center"/>
            </w:pPr>
            <w:r>
              <w:t>7 (20%)</w:t>
            </w:r>
          </w:p>
        </w:tc>
      </w:tr>
      <w:tr w:rsidR="00935C65" w:rsidTr="1EE299A1" w14:paraId="026CC7D2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0EC83439" w14:textId="77777777">
            <w:pPr>
              <w:jc w:val="left"/>
            </w:pPr>
            <w:r>
              <w:t>Infecção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3BE55BE9" w14:textId="77777777">
            <w:pPr>
              <w:jc w:val="center"/>
            </w:pPr>
            <w:r>
              <w:t>2 (5.7%)</w:t>
            </w:r>
          </w:p>
        </w:tc>
      </w:tr>
      <w:tr w:rsidR="00935C65" w:rsidTr="1EE299A1" w14:paraId="2876A87C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05FB59F1" w14:textId="77777777">
            <w:pPr>
              <w:jc w:val="left"/>
            </w:pPr>
            <w:r>
              <w:t>Soltura Asséptica Femoral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1A0A9B0B" w14:textId="77777777">
            <w:pPr>
              <w:jc w:val="center"/>
            </w:pPr>
            <w:r>
              <w:t>2 (5.7%)</w:t>
            </w:r>
          </w:p>
        </w:tc>
      </w:tr>
      <w:tr w:rsidR="00935C65" w:rsidTr="1EE299A1" w14:paraId="178FC2A6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5EB97CC7" w14:textId="77777777">
            <w:pPr>
              <w:jc w:val="left"/>
            </w:pPr>
            <w:r>
              <w:t>Fratura Periprotética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432A4A59" w14:textId="77777777">
            <w:pPr>
              <w:jc w:val="center"/>
            </w:pPr>
            <w:r>
              <w:t>1 (2.9%)</w:t>
            </w:r>
          </w:p>
        </w:tc>
      </w:tr>
      <w:tr w:rsidR="00935C65" w:rsidTr="1EE299A1" w14:paraId="2D92376E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7B3412DD" w14:textId="77777777">
            <w:pPr>
              <w:jc w:val="left"/>
            </w:pPr>
            <w:r>
              <w:t>Desconhecido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72E4F76D" w14:textId="77777777">
            <w:pPr>
              <w:jc w:val="center"/>
            </w:pPr>
            <w:r>
              <w:t>23</w:t>
            </w:r>
          </w:p>
        </w:tc>
      </w:tr>
      <w:tr w:rsidR="00935C65" w:rsidTr="1EE299A1" w14:paraId="68A76C0C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21B75260" w14:textId="77777777">
            <w:pPr>
              <w:jc w:val="left"/>
            </w:pPr>
            <w:r>
              <w:rPr>
                <w:b/>
                <w:bCs/>
              </w:rPr>
              <w:t>Ciurgia (não ortop.) durante a espera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0AF5A8A3" w14:textId="77777777">
            <w:pPr>
              <w:jc w:val="center"/>
            </w:pPr>
            <w:r>
              <w:t>3 (5.2%)</w:t>
            </w:r>
          </w:p>
        </w:tc>
      </w:tr>
    </w:tbl>
    <w:p w:rsidR="1EE299A1" w:rsidP="1EE299A1" w:rsidRDefault="1EE299A1" w14:paraId="3C37507C" w14:textId="41ADBEBA">
      <w:pPr>
        <w:pStyle w:val="Ttulo2"/>
        <w:numPr>
          <w:numId w:val="0"/>
        </w:numPr>
        <w:ind w:left="0"/>
      </w:pPr>
    </w:p>
    <w:p w:rsidR="00935C65" w:rsidP="46CCF040" w:rsidRDefault="00740805" w14:paraId="051DEEAA" w14:textId="77777777" w14:noSpellErr="1">
      <w:pPr>
        <w:pStyle w:val="Ttulo2"/>
        <w:rPr/>
      </w:pPr>
      <w:bookmarkStart w:name="tempo-de-espera-de-revisão-de-atq" w:id="12"/>
      <w:bookmarkEnd w:id="11"/>
      <w:bookmarkStart w:name="_Toc960689376" w:id="502923701"/>
      <w:r w:rsidR="7CC7374C">
        <w:rPr/>
        <w:t>Tempo de espera de revisão de ATQ</w:t>
      </w:r>
      <w:bookmarkEnd w:id="502923701"/>
    </w:p>
    <w:p w:rsidR="00935C65" w:rsidRDefault="00740805" w14:paraId="20983277" w14:textId="77777777">
      <w:r w:rsidR="1EE299A1">
        <w:rPr/>
        <w:t>O tempo de espera médio é de 3.5 anos (Tabela 3). A distribuição de tempo de espera é bimodal (Fig 1), onde identifica-se dois grandes grupos de pacientes aguardando há 2 anos e 6 anos respectivamente. Há 10 pacientes que aguardam há 2 ou 3 anos, cujas ida</w:t>
      </w:r>
      <w:r w:rsidR="1EE299A1">
        <w:rPr/>
        <w:t>des entre 45 e 80 anos e nos quais o diagnóstico mais comum é Soltura Asséptica Acetabular (n = 6) seguido de Soltura Asséptica de Ambos (n = 3). Seus índices de Charlson são tipicamente baixos, HHS em torno de 44% e as classificações Paprosky mais frequen</w:t>
      </w:r>
      <w:r w:rsidR="1EE299A1">
        <w:rPr/>
        <w:t xml:space="preserve">tes são 2C e 3A. Os pacientes que aguardam há 5 ou 6 anos (n = 14) tem perfil semelhante, com idades entre 44 a 83 anos e diagnóstico típico Soltura Asséptica Acetabular. A maiorira possui índice de Charlson baixo (n = 7), mas 3 pacientes possuem Charlson </w:t>
      </w:r>
      <w:r w:rsidR="1EE299A1">
        <w:rPr/>
        <w:t>entre 0% e 5%, e 4 pacientes possuem Charlson entre 5% e 10%. A classificação de Paprosky típica foi 2C (n=6) seguida das classificações 2A e 3A (n = 3, cada).</w:t>
      </w:r>
    </w:p>
    <w:p w:rsidR="1EE299A1" w:rsidP="1EE299A1" w:rsidRDefault="1EE299A1" w14:paraId="5DBA5DA9" w14:textId="76CEEB68">
      <w:pPr>
        <w:pStyle w:val="Normal"/>
        <w:rPr>
          <w:rFonts w:ascii="Arial" w:hAnsi="Arial" w:eastAsia="Calibri" w:cs="Arial"/>
        </w:rPr>
      </w:pPr>
    </w:p>
    <w:p w:rsidR="00935C65" w:rsidRDefault="00740805" w14:paraId="62EBF3C5" w14:textId="77777777">
      <w:pPr>
        <w:pStyle w:val="Corpodetexto"/>
      </w:pPr>
      <w:r>
        <w:rPr>
          <w:noProof/>
        </w:rPr>
        <w:drawing>
          <wp:inline distT="0" distB="0" distL="0" distR="0" wp14:anchorId="184F9D93" wp14:editId="07777777">
            <wp:extent cx="3669832" cy="366983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dist_temp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832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C65" w:rsidRDefault="00740805" w14:paraId="6C5474D4" w14:textId="77777777">
      <w:pPr>
        <w:pStyle w:val="Corpodetexto"/>
      </w:pPr>
      <w:r w:rsidRPr="1EE299A1" w:rsidR="1EE299A1">
        <w:rPr>
          <w:b w:val="1"/>
          <w:bCs w:val="1"/>
        </w:rPr>
        <w:t>Figura 1</w:t>
      </w:r>
      <w:r w:rsidR="1EE299A1">
        <w:rPr/>
        <w:t xml:space="preserve"> Distribuição do tempo de espera para cirurgia de revisão</w:t>
      </w:r>
    </w:p>
    <w:p w:rsidR="1EE299A1" w:rsidP="1EE299A1" w:rsidRDefault="1EE299A1" w14:paraId="79AA48D2" w14:textId="22279208">
      <w:pPr>
        <w:pStyle w:val="Corpodetexto"/>
      </w:pPr>
    </w:p>
    <w:p w:rsidR="00935C65" w:rsidRDefault="00740805" w14:paraId="03AF0658" w14:textId="77777777">
      <w:pPr>
        <w:pStyle w:val="Corpodetexto"/>
      </w:pPr>
      <w:r>
        <w:t>Seis pacientes aguardam na f</w:t>
      </w:r>
      <w:r>
        <w:t>ila há menos de 1 ano completo, com tempo de espera entre 6 e 10 meses. Estes são em sua maioria homens, com idades entre 48 e 69 anos. O diagnóstico atual mais prevalente é Soltura Asséptica Acetabular, índice de Charlson baixo, HHS em torno de 40% e clas</w:t>
      </w:r>
      <w:r>
        <w:t>sificações de Paprosky 1, 2B e 2C.</w:t>
      </w:r>
    </w:p>
    <w:p w:rsidR="1EE299A1" w:rsidP="1EE299A1" w:rsidRDefault="1EE299A1" w14:paraId="3D469735" w14:textId="69BF5DAD">
      <w:pPr>
        <w:pStyle w:val="Corpodetexto"/>
      </w:pPr>
      <w:r w:rsidR="6B41CBDF">
        <w:rPr/>
        <w:t>No extremo superior se observou dois pacientes aguardando a revisão há mais de 10 anos – um homem de 84 anos aguarda há 15 anos e uma mulher de 50 anos aguarda há 17 anos. Os dados clínicos do primeiro não foram obtidos e o diagnóstico atual da segunda é Soltura Asséptica Acetabular e ela possui o índice de Charlson 3.4%, HHS 10% e classificação Paprosky 2C.</w:t>
      </w:r>
    </w:p>
    <w:p w:rsidR="00935C65" w:rsidP="46CCF040" w:rsidRDefault="00740805" w14:paraId="138BFD07" w14:textId="77777777" w14:noSpellErr="1">
      <w:pPr>
        <w:pStyle w:val="Ttulo2"/>
        <w:rPr/>
      </w:pPr>
      <w:bookmarkStart w:name="X429a2b6be14b2c3c7b0fd9eb64ee4f9e31a057c" w:id="13"/>
      <w:bookmarkEnd w:id="12"/>
      <w:bookmarkStart w:name="_Toc1365732332" w:id="946643690"/>
      <w:r w:rsidR="7CC7374C">
        <w:rPr/>
        <w:t>Características clínicas dos pacientes durante a espera</w:t>
      </w:r>
      <w:bookmarkEnd w:id="946643690"/>
    </w:p>
    <w:p w:rsidR="00935C65" w:rsidRDefault="00740805" w14:paraId="37367E5D" w14:textId="77777777">
      <w:r>
        <w:t>As características clinicas dos pacientes avaliados no quest</w:t>
      </w:r>
      <w:r>
        <w:t>ionário são apresentadas na Tabela 3. O diagnóstico atual mais prevalente é a Soltura Asséptica Acetabular, seguida da Soltura Asséptica de Ambos. O escore de Charlson médio na amostra é 3%, onde 29 (51%) pessoas possuem escore de 0%. Considerando apenas a</w:t>
      </w:r>
      <w:r>
        <w:t xml:space="preserve">s pessoas que possuem risco positivo de morrer no próximo ano o escore médio é 6%. Os escores de Harris (HHS) observados variaram de 10.6 a 80, com valor médio 41. A classificação de Paprosky mais prevalente é 2C com 19 (35%) pessoas, seguida de 3A com 11 </w:t>
      </w:r>
      <w:r>
        <w:t xml:space="preserve">(20%) pessoas. Os pacientes atualmente na fila de espera fazem uso de diversos tipos de analgésicos, sendo AINES a classe individual de analésico mais usada. A maior parte dos pacientes investigados (34%) usam uma combinação de classes de analgésicos. Uma </w:t>
      </w:r>
      <w:r>
        <w:t>pequena parte da amostra (14%) faz uso de antidepressivos.</w:t>
      </w:r>
    </w:p>
    <w:p w:rsidR="00935C65" w:rsidRDefault="00740805" w14:paraId="2C033A3B" w14:textId="77777777">
      <w:pPr>
        <w:pStyle w:val="Corpodetexto"/>
      </w:pPr>
      <w:r w:rsidR="1EE299A1">
        <w:rPr/>
        <w:t>A descrição geral das características clínicas relativas à espera é que o paciente típico está aguardando a revisão de quadril há 3.5 anos por um diagnóstico de Soltura Asséptica Acetabular. O paci</w:t>
      </w:r>
      <w:r w:rsidR="1EE299A1">
        <w:rPr/>
        <w:t>ente típico possui escore médio de Charlson 3%, escore médio de HHS 41 e classificação Paprosky 2C. Usa ainda combinações de analgésicos e quando emprega uma única classe a AINES é mais favorecida.</w:t>
      </w:r>
    </w:p>
    <w:p w:rsidR="1EE299A1" w:rsidP="1EE299A1" w:rsidRDefault="1EE299A1" w14:paraId="5038D738" w14:textId="797E8F3E">
      <w:pPr>
        <w:pStyle w:val="Corpodetexto"/>
        <w:rPr>
          <w:rFonts w:ascii="Arial" w:hAnsi="Arial" w:eastAsia="Calibri" w:cs="Arial"/>
        </w:rPr>
      </w:pPr>
    </w:p>
    <w:p w:rsidR="00935C65" w:rsidRDefault="00740805" w14:paraId="28B42B31" w14:textId="77777777">
      <w:pPr>
        <w:pStyle w:val="Corpodetexto"/>
      </w:pPr>
      <w:r>
        <w:rPr>
          <w:b/>
          <w:bCs/>
        </w:rPr>
        <w:t>Tabela 3</w:t>
      </w:r>
      <w:r>
        <w:t xml:space="preserve"> Características clínicas relativas à espera da ci</w:t>
      </w:r>
      <w:r>
        <w:t>rurgia de revisão. AINES: anti-inflamatórios não esteroides.</w:t>
      </w:r>
    </w:p>
    <w:tbl>
      <w:tblPr>
        <w:tblStyle w:val="NormalTable0"/>
        <w:tblW w:w="0" w:type="pct"/>
        <w:tblLook w:val="0020" w:firstRow="1" w:lastRow="0" w:firstColumn="0" w:lastColumn="0" w:noHBand="0" w:noVBand="0"/>
      </w:tblPr>
      <w:tblGrid>
        <w:gridCol w:w="3218"/>
        <w:gridCol w:w="1184"/>
      </w:tblGrid>
      <w:tr w:rsidR="00935C65" w:rsidTr="1EE299A1" w14:paraId="2BE1DE56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216FDCF2" w14:textId="77777777">
            <w:pPr>
              <w:jc w:val="left"/>
            </w:pPr>
            <w:r>
              <w:rPr>
                <w:b/>
                <w:bCs/>
              </w:rPr>
              <w:t>Características dos pacientes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6321F379" w14:textId="77777777">
            <w:pPr>
              <w:jc w:val="center"/>
            </w:pPr>
            <w:r>
              <w:rPr>
                <w:b/>
                <w:bCs/>
              </w:rPr>
              <w:t>N = 58</w:t>
            </w:r>
          </w:p>
        </w:tc>
      </w:tr>
      <w:tr w:rsidR="00935C65" w:rsidTr="1EE299A1" w14:paraId="0ECDF5E9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672C08AB" w14:textId="77777777">
            <w:pPr>
              <w:jc w:val="left"/>
            </w:pPr>
            <w:r>
              <w:rPr>
                <w:b/>
                <w:bCs/>
              </w:rPr>
              <w:t>Tempo de espera (anos)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15348FD4" w14:textId="77777777">
            <w:pPr>
              <w:jc w:val="center"/>
            </w:pPr>
            <w:r>
              <w:t>3.52 (3.21)</w:t>
            </w:r>
          </w:p>
        </w:tc>
      </w:tr>
      <w:tr w:rsidR="00935C65" w:rsidTr="1EE299A1" w14:paraId="696E67C1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01254060" w14:textId="77777777">
            <w:pPr>
              <w:jc w:val="left"/>
            </w:pPr>
            <w:r>
              <w:rPr>
                <w:b/>
                <w:bCs/>
              </w:rPr>
              <w:t>Diagnóstico atual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935C65" w14:paraId="6D98A12B" w14:textId="77777777"/>
        </w:tc>
      </w:tr>
      <w:tr w:rsidR="00935C65" w:rsidTr="1EE299A1" w14:paraId="4FD2CBE9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319C40D1" w14:textId="77777777">
            <w:pPr>
              <w:jc w:val="left"/>
            </w:pPr>
            <w:r>
              <w:t>Soltura Asséptica Acetabular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51DB157A" w14:textId="77777777">
            <w:pPr>
              <w:jc w:val="center"/>
            </w:pPr>
            <w:r>
              <w:t>34 (72%)</w:t>
            </w:r>
          </w:p>
        </w:tc>
      </w:tr>
      <w:tr w:rsidR="00935C65" w:rsidTr="1EE299A1" w14:paraId="0B36BD63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15915E9C" w14:textId="77777777">
            <w:pPr>
              <w:jc w:val="left"/>
            </w:pPr>
            <w:r>
              <w:t>Soltura Asséptica de Ambos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56A39293" w14:textId="77777777">
            <w:pPr>
              <w:jc w:val="center"/>
            </w:pPr>
            <w:r>
              <w:t>10 (21%)</w:t>
            </w:r>
          </w:p>
        </w:tc>
      </w:tr>
      <w:tr w:rsidR="00935C65" w:rsidTr="1EE299A1" w14:paraId="01A2C9BF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3BF6D2F5" w14:textId="77777777">
            <w:pPr>
              <w:jc w:val="left"/>
            </w:pPr>
            <w:r>
              <w:t>Fratura Periprotética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44D5435E" w14:textId="77777777">
            <w:pPr>
              <w:jc w:val="center"/>
            </w:pPr>
            <w:r>
              <w:t>1 (2.1%)</w:t>
            </w:r>
          </w:p>
        </w:tc>
      </w:tr>
      <w:tr w:rsidR="00935C65" w:rsidTr="1EE299A1" w14:paraId="709F7AA0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59C2879C" w14:textId="77777777">
            <w:pPr>
              <w:jc w:val="left"/>
            </w:pPr>
            <w:r>
              <w:t>Infecção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32E9F214" w14:textId="77777777">
            <w:pPr>
              <w:jc w:val="center"/>
            </w:pPr>
            <w:r>
              <w:t>1 (2.1%)</w:t>
            </w:r>
          </w:p>
        </w:tc>
      </w:tr>
      <w:tr w:rsidR="00935C65" w:rsidTr="1EE299A1" w14:paraId="50FBEB07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0C1B2985" w14:textId="77777777">
            <w:pPr>
              <w:jc w:val="left"/>
            </w:pPr>
            <w:r>
              <w:t>Soltura Asséptica Femoral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49323FFC" w14:textId="77777777">
            <w:pPr>
              <w:jc w:val="center"/>
            </w:pPr>
            <w:r>
              <w:t>1 (2.1%)</w:t>
            </w:r>
          </w:p>
        </w:tc>
      </w:tr>
      <w:tr w:rsidR="00935C65" w:rsidTr="1EE299A1" w14:paraId="5C9F758F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098C813D" w14:textId="77777777">
            <w:pPr>
              <w:jc w:val="left"/>
            </w:pPr>
            <w:r>
              <w:t>Desconhecido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4737E36C" w14:textId="77777777">
            <w:pPr>
              <w:jc w:val="center"/>
            </w:pPr>
            <w:r>
              <w:t>11</w:t>
            </w:r>
          </w:p>
        </w:tc>
      </w:tr>
      <w:tr w:rsidR="00935C65" w:rsidTr="1EE299A1" w14:paraId="6011034C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1BEDE0EB" w14:textId="77777777">
            <w:pPr>
              <w:jc w:val="left"/>
            </w:pPr>
            <w:r>
              <w:rPr>
                <w:b/>
                <w:bCs/>
              </w:rPr>
              <w:t>Escore de Charlson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935C65" w14:paraId="2946DB82" w14:textId="77777777"/>
        </w:tc>
      </w:tr>
      <w:tr w:rsidR="00935C65" w:rsidTr="1EE299A1" w14:paraId="6A7D9628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6D414B93" w14:textId="77777777">
            <w:pPr>
              <w:jc w:val="left"/>
            </w:pPr>
            <w:r>
              <w:t>0%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0DED8FCE" w14:textId="77777777">
            <w:pPr>
              <w:jc w:val="center"/>
            </w:pPr>
            <w:r>
              <w:t>29 (51%)</w:t>
            </w:r>
          </w:p>
        </w:tc>
      </w:tr>
      <w:tr w:rsidR="00935C65" w:rsidTr="1EE299A1" w14:paraId="3949C2F6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252E4B31" w14:textId="77777777">
            <w:pPr>
              <w:jc w:val="left"/>
            </w:pPr>
            <w:r>
              <w:t>1% a 5%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075F318F" w14:textId="77777777">
            <w:pPr>
              <w:jc w:val="center"/>
            </w:pPr>
            <w:r>
              <w:t>14 (25%)</w:t>
            </w:r>
          </w:p>
        </w:tc>
      </w:tr>
      <w:tr w:rsidR="00935C65" w:rsidTr="1EE299A1" w14:paraId="0FC8E76F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50403843" w14:textId="77777777">
            <w:pPr>
              <w:jc w:val="left"/>
            </w:pPr>
            <w:r>
              <w:t>6% a 10%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7864D883" w14:textId="77777777">
            <w:pPr>
              <w:jc w:val="center"/>
            </w:pPr>
            <w:r>
              <w:t>8 (14%)</w:t>
            </w:r>
          </w:p>
        </w:tc>
      </w:tr>
      <w:tr w:rsidR="00935C65" w:rsidTr="1EE299A1" w14:paraId="0E654A4F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0B4D0BF9" w14:textId="77777777">
            <w:pPr>
              <w:jc w:val="left"/>
            </w:pPr>
            <w:r>
              <w:t>Maior que 10%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4097CEEF" w14:textId="77777777">
            <w:pPr>
              <w:jc w:val="center"/>
            </w:pPr>
            <w:r>
              <w:t>6 (11%)</w:t>
            </w:r>
          </w:p>
        </w:tc>
      </w:tr>
      <w:tr w:rsidR="00935C65" w:rsidTr="1EE299A1" w14:paraId="2F0431F6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3DA3E17F" w14:textId="77777777">
            <w:pPr>
              <w:jc w:val="left"/>
            </w:pPr>
            <w:r>
              <w:t>Desconhecido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56B20A0C" w14:textId="77777777">
            <w:pPr>
              <w:jc w:val="center"/>
            </w:pPr>
            <w:r>
              <w:t>1</w:t>
            </w:r>
          </w:p>
        </w:tc>
      </w:tr>
      <w:tr w:rsidR="00935C65" w:rsidTr="1EE299A1" w14:paraId="5C9A2C6E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3283D591" w14:textId="77777777">
            <w:pPr>
              <w:jc w:val="left"/>
            </w:pPr>
            <w:r>
              <w:rPr>
                <w:b/>
                <w:bCs/>
              </w:rPr>
              <w:t>HHS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41FB7DC3" w14:textId="77777777">
            <w:pPr>
              <w:jc w:val="center"/>
            </w:pPr>
            <w:r>
              <w:t>41 (15)</w:t>
            </w:r>
          </w:p>
        </w:tc>
      </w:tr>
      <w:tr w:rsidR="00935C65" w:rsidTr="1EE299A1" w14:paraId="4EFCC6E6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5CB46742" w14:textId="77777777">
            <w:pPr>
              <w:jc w:val="left"/>
            </w:pPr>
            <w:r>
              <w:t>Desconhecido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249FAAB8" w14:textId="77777777">
            <w:pPr>
              <w:jc w:val="center"/>
            </w:pPr>
            <w:r>
              <w:t>1</w:t>
            </w:r>
          </w:p>
        </w:tc>
      </w:tr>
      <w:tr w:rsidR="00935C65" w:rsidTr="1EE299A1" w14:paraId="48A2C4B2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30051725" w14:textId="77777777">
            <w:pPr>
              <w:jc w:val="left"/>
            </w:pPr>
            <w:r>
              <w:rPr>
                <w:b/>
                <w:bCs/>
              </w:rPr>
              <w:t>Classificação Paprosky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935C65" w14:paraId="5997CC1D" w14:textId="77777777"/>
        </w:tc>
      </w:tr>
      <w:tr w:rsidR="00935C65" w:rsidTr="1EE299A1" w14:paraId="44DC302B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10D8A868" w14:textId="77777777">
            <w:pPr>
              <w:jc w:val="left"/>
            </w:pPr>
            <w:r>
              <w:t>2C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4B4B6AC9" w14:textId="77777777">
            <w:pPr>
              <w:jc w:val="center"/>
            </w:pPr>
            <w:r>
              <w:t>19 (35%)</w:t>
            </w:r>
          </w:p>
        </w:tc>
      </w:tr>
      <w:tr w:rsidR="00935C65" w:rsidTr="1EE299A1" w14:paraId="05DBEAA7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40CF0299" w14:textId="77777777">
            <w:pPr>
              <w:jc w:val="left"/>
            </w:pPr>
            <w:r>
              <w:t>3A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2D078B24" w14:textId="77777777">
            <w:pPr>
              <w:jc w:val="center"/>
            </w:pPr>
            <w:r>
              <w:t>11 (20%)</w:t>
            </w:r>
          </w:p>
        </w:tc>
      </w:tr>
      <w:tr w:rsidR="00935C65" w:rsidTr="1EE299A1" w14:paraId="7BCC9D46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111209B9" w14:textId="77777777">
            <w:pPr>
              <w:jc w:val="left"/>
            </w:pPr>
            <w:r>
              <w:t>2B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57C20B11" w14:textId="77777777">
            <w:pPr>
              <w:jc w:val="center"/>
            </w:pPr>
            <w:r>
              <w:t>8 (15%)</w:t>
            </w:r>
          </w:p>
        </w:tc>
      </w:tr>
      <w:tr w:rsidR="00935C65" w:rsidTr="1EE299A1" w14:paraId="38C1659D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19F14E3C" w14:textId="77777777">
            <w:pPr>
              <w:jc w:val="left"/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097846C0" w14:textId="77777777">
            <w:pPr>
              <w:jc w:val="center"/>
            </w:pPr>
            <w:r>
              <w:t>7 (13%)</w:t>
            </w:r>
          </w:p>
        </w:tc>
      </w:tr>
      <w:tr w:rsidR="00935C65" w:rsidTr="1EE299A1" w14:paraId="1A9A28B7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103212AF" w14:textId="77777777">
            <w:pPr>
              <w:jc w:val="left"/>
            </w:pPr>
            <w:r>
              <w:t>2A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1F41FF71" w14:textId="77777777">
            <w:pPr>
              <w:jc w:val="center"/>
            </w:pPr>
            <w:r>
              <w:t>7 (13%)</w:t>
            </w:r>
          </w:p>
        </w:tc>
      </w:tr>
      <w:tr w:rsidR="00935C65" w:rsidTr="1EE299A1" w14:paraId="4CC98A92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57C7C788" w14:textId="77777777">
            <w:pPr>
              <w:jc w:val="left"/>
            </w:pPr>
            <w:r>
              <w:t>3B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5B295399" w14:textId="77777777">
            <w:pPr>
              <w:jc w:val="center"/>
            </w:pPr>
            <w:r>
              <w:t>2 (3.7%)</w:t>
            </w:r>
          </w:p>
        </w:tc>
      </w:tr>
      <w:tr w:rsidR="00935C65" w:rsidTr="1EE299A1" w14:paraId="44F5588D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5C373217" w14:textId="77777777">
            <w:pPr>
              <w:jc w:val="left"/>
            </w:pPr>
            <w:r>
              <w:t>3C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178F6D74" w14:textId="77777777">
            <w:pPr>
              <w:jc w:val="center"/>
            </w:pPr>
            <w:r>
              <w:t>0 (0%)</w:t>
            </w:r>
          </w:p>
        </w:tc>
      </w:tr>
      <w:tr w:rsidR="00935C65" w:rsidTr="1EE299A1" w14:paraId="75335260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3D993533" w14:textId="77777777">
            <w:pPr>
              <w:jc w:val="left"/>
            </w:pPr>
            <w:r>
              <w:t>Desconhecido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2598DEE6" w14:textId="77777777">
            <w:pPr>
              <w:jc w:val="center"/>
            </w:pPr>
            <w:r>
              <w:t>4</w:t>
            </w:r>
          </w:p>
        </w:tc>
      </w:tr>
      <w:tr w:rsidR="00935C65" w:rsidTr="1EE299A1" w14:paraId="1E852130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0D099B91" w14:textId="77777777">
            <w:pPr>
              <w:jc w:val="left"/>
            </w:pPr>
            <w:r>
              <w:rPr>
                <w:b/>
                <w:bCs/>
              </w:rPr>
              <w:t>Uso de antidepressivos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52693819" w14:textId="77777777">
            <w:pPr>
              <w:jc w:val="center"/>
            </w:pPr>
            <w:r>
              <w:t>8 (14%)</w:t>
            </w:r>
          </w:p>
        </w:tc>
      </w:tr>
      <w:tr w:rsidR="00935C65" w:rsidTr="1EE299A1" w14:paraId="48D55249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2CEC1E6F" w14:textId="77777777">
            <w:pPr>
              <w:jc w:val="left"/>
            </w:pPr>
            <w:r>
              <w:rPr>
                <w:b/>
                <w:bCs/>
              </w:rPr>
              <w:t>Número de medicações em uso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935C65" w14:paraId="110FFD37" w14:textId="77777777"/>
        </w:tc>
      </w:tr>
      <w:tr w:rsidR="00935C65" w:rsidTr="1EE299A1" w14:paraId="3327FF5A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2322F001" w14:textId="77777777">
            <w:pPr>
              <w:jc w:val="left"/>
            </w:pPr>
            <w: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3BE9D038" w14:textId="77777777">
            <w:pPr>
              <w:jc w:val="center"/>
            </w:pPr>
            <w:r>
              <w:t>16 (28%)</w:t>
            </w:r>
          </w:p>
        </w:tc>
      </w:tr>
      <w:tr w:rsidR="00935C65" w:rsidTr="1EE299A1" w14:paraId="243DA72F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065D2414" w14:textId="77777777">
            <w:pPr>
              <w:jc w:val="left"/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478189EC" w14:textId="77777777">
            <w:pPr>
              <w:jc w:val="center"/>
            </w:pPr>
            <w:r>
              <w:t>19 (33%)</w:t>
            </w:r>
          </w:p>
        </w:tc>
      </w:tr>
      <w:tr w:rsidR="00935C65" w:rsidTr="1EE299A1" w14:paraId="784F8D28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7144751B" w14:textId="77777777">
            <w:pPr>
              <w:jc w:val="left"/>
            </w:pPr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21147157" w14:textId="77777777">
            <w:pPr>
              <w:jc w:val="center"/>
            </w:pPr>
            <w:r>
              <w:t>20 (34%)</w:t>
            </w:r>
          </w:p>
        </w:tc>
      </w:tr>
      <w:tr w:rsidR="00935C65" w:rsidTr="1EE299A1" w14:paraId="3B489980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5FCD5EC4" w14:textId="77777777">
            <w:pPr>
              <w:jc w:val="left"/>
            </w:pPr>
            <w: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6800C133" w14:textId="77777777">
            <w:pPr>
              <w:jc w:val="center"/>
            </w:pPr>
            <w:r>
              <w:t>3 (5.2%)</w:t>
            </w:r>
          </w:p>
        </w:tc>
      </w:tr>
      <w:tr w:rsidR="00935C65" w:rsidTr="1EE299A1" w14:paraId="5A8418EA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4DDCDB92" w14:textId="77777777">
            <w:pPr>
              <w:jc w:val="left"/>
            </w:pPr>
            <w:r>
              <w:rPr>
                <w:b/>
                <w:bCs/>
              </w:rPr>
              <w:t>Uso de analgésicos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935C65" w14:paraId="6B699379" w14:textId="77777777"/>
        </w:tc>
      </w:tr>
      <w:tr w:rsidR="00935C65" w:rsidTr="1EE299A1" w14:paraId="3F59AB97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5FF86848" w14:textId="77777777">
            <w:pPr>
              <w:jc w:val="left"/>
            </w:pPr>
            <w:r>
              <w:t>Vários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3718ADEB" w14:textId="77777777">
            <w:pPr>
              <w:jc w:val="center"/>
            </w:pPr>
            <w:r>
              <w:t>20 (34%)</w:t>
            </w:r>
          </w:p>
        </w:tc>
      </w:tr>
      <w:tr w:rsidR="00935C65" w:rsidTr="1EE299A1" w14:paraId="2629FBA0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3D066053" w14:textId="77777777">
            <w:pPr>
              <w:jc w:val="left"/>
            </w:pPr>
            <w:r>
              <w:t>AINES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59DA82E3" w14:textId="77777777">
            <w:pPr>
              <w:jc w:val="center"/>
            </w:pPr>
            <w:r>
              <w:t>18 (31%)</w:t>
            </w:r>
          </w:p>
        </w:tc>
      </w:tr>
      <w:tr w:rsidR="00935C65" w:rsidTr="1EE299A1" w14:paraId="469BDEB6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3BA0A9A9" w14:textId="77777777">
            <w:pPr>
              <w:jc w:val="left"/>
            </w:pPr>
            <w:r>
              <w:t>Nenhum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5B4E9EF6" w14:textId="77777777">
            <w:pPr>
              <w:jc w:val="center"/>
            </w:pPr>
            <w:r>
              <w:t>9 (16%)</w:t>
            </w:r>
          </w:p>
        </w:tc>
      </w:tr>
      <w:tr w:rsidR="00935C65" w:rsidTr="1EE299A1" w14:paraId="3D7D27EF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66FF0D98" w14:textId="77777777">
            <w:pPr>
              <w:jc w:val="left"/>
            </w:pPr>
            <w:r>
              <w:t>Opióides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00BA7464" w14:textId="77777777">
            <w:pPr>
              <w:jc w:val="center"/>
            </w:pPr>
            <w:r>
              <w:t>9 (16%)</w:t>
            </w:r>
          </w:p>
        </w:tc>
      </w:tr>
      <w:tr w:rsidR="00935C65" w:rsidTr="1EE299A1" w14:paraId="2B33A35C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4314C0D6" w14:textId="77777777">
            <w:pPr>
              <w:jc w:val="left"/>
            </w:pPr>
            <w:r>
              <w:t>Analgésicos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935C65" w:rsidRDefault="00740805" w14:paraId="6A541C61" w14:textId="77777777">
            <w:pPr>
              <w:jc w:val="center"/>
            </w:pPr>
            <w:r>
              <w:t>2 (3.4%)</w:t>
            </w:r>
          </w:p>
        </w:tc>
      </w:tr>
    </w:tbl>
    <w:p w:rsidR="1EE299A1" w:rsidP="1EE299A1" w:rsidRDefault="1EE299A1" w14:paraId="2A653CAA" w14:textId="0F39893D">
      <w:pPr>
        <w:pStyle w:val="Corpodetexto"/>
      </w:pPr>
    </w:p>
    <w:p w:rsidR="00935C65" w:rsidRDefault="00740805" w14:paraId="652587E8" w14:textId="77777777">
      <w:pPr>
        <w:pStyle w:val="Corpodetexto"/>
      </w:pPr>
      <w:r w:rsidR="1EE299A1">
        <w:rPr/>
        <w:t>As duas medidas de risco aos pacientes utilizadas neste estudo foram correlacionadas para investigar se há associação entre suas distribuções de frequências. O índice de Charlson, quando convertido para porcentagem, confere uma quantificação do risco de mo</w:t>
      </w:r>
      <w:r w:rsidR="1EE299A1">
        <w:rPr/>
        <w:t>rte no próximo ano. Na amostra, as três classificações de Paprosky mais prevalentes foram 2B, 2C e 3A (Tabela 4). As ocorrências dessas três categorias parecem estar uniformemente distribuídas em relação às faixas consideradas para o escore de Charlson, se</w:t>
      </w:r>
      <w:r w:rsidR="1EE299A1">
        <w:rPr/>
        <w:t>m associação detectável (p = 0.5). Não podemos, nesta amostra, afirmar que determinadas classificações de Paprosky estão associadas ao aumento do risco de morte no próximo ano conforme mensuradas pelo escore de Charlson.</w:t>
      </w:r>
    </w:p>
    <w:p w:rsidR="1EE299A1" w:rsidP="1EE299A1" w:rsidRDefault="1EE299A1" w14:paraId="6B6815A1" w14:textId="2AB741F1">
      <w:pPr>
        <w:pStyle w:val="Corpodetexto"/>
        <w:rPr>
          <w:rFonts w:ascii="Arial" w:hAnsi="Arial" w:eastAsia="Calibri" w:cs="Arial"/>
        </w:rPr>
      </w:pPr>
    </w:p>
    <w:p w:rsidR="00935C65" w:rsidRDefault="00740805" w14:paraId="24339389" w14:textId="77777777">
      <w:pPr>
        <w:pStyle w:val="Corpodetexto"/>
      </w:pPr>
      <w:r>
        <w:rPr>
          <w:b/>
          <w:bCs/>
        </w:rPr>
        <w:t>Tabela 4</w:t>
      </w:r>
      <w:r>
        <w:t xml:space="preserve"> Associação entre as classi</w:t>
      </w:r>
      <w:r>
        <w:t>ficações de risco: escore de Charlson e as 3 classificações de Paprosky mais frequentes na amostra. p = teste exato de Fisher.</w:t>
      </w:r>
    </w:p>
    <w:tbl>
      <w:tblPr>
        <w:tblStyle w:val="NormalTable0"/>
        <w:tblW w:w="6170" w:type="dxa"/>
        <w:tblLook w:val="0020" w:firstRow="1" w:lastRow="0" w:firstColumn="0" w:lastColumn="0" w:noHBand="0" w:noVBand="0"/>
      </w:tblPr>
      <w:tblGrid>
        <w:gridCol w:w="2095"/>
        <w:gridCol w:w="540"/>
        <w:gridCol w:w="510"/>
        <w:gridCol w:w="495"/>
        <w:gridCol w:w="824"/>
        <w:gridCol w:w="697"/>
        <w:gridCol w:w="1009"/>
      </w:tblGrid>
      <w:tr w:rsidR="00935C65" w:rsidTr="46CCF040" w14:paraId="76CD583C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5" w:type="dxa"/>
            <w:tcMar/>
          </w:tcPr>
          <w:p w:rsidR="00935C65" w:rsidRDefault="00740805" w14:paraId="207ABB41" w14:textId="77777777">
            <w:pPr>
              <w:jc w:val="center"/>
            </w:pPr>
            <w:r>
              <w:rPr>
                <w:b/>
                <w:bCs/>
              </w:rPr>
              <w:t>Características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40" w:type="dxa"/>
            <w:tcMar/>
          </w:tcPr>
          <w:p w:rsidR="00935C65" w:rsidRDefault="00740805" w14:paraId="036EDA80" w14:textId="77777777">
            <w:pPr>
              <w:jc w:val="center"/>
            </w:pPr>
            <w:r>
              <w:t>2B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" w:type="dxa"/>
            <w:tcMar/>
          </w:tcPr>
          <w:p w:rsidR="00935C65" w:rsidRDefault="00740805" w14:paraId="30BC1504" w14:textId="77777777">
            <w:pPr>
              <w:jc w:val="center"/>
            </w:pPr>
            <w:r>
              <w:t>2C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95" w:type="dxa"/>
            <w:tcMar/>
          </w:tcPr>
          <w:p w:rsidR="00935C65" w:rsidRDefault="00740805" w14:paraId="2F3E449D" w14:textId="77777777">
            <w:pPr>
              <w:jc w:val="center"/>
            </w:pPr>
            <w:r>
              <w:t>3A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" w:type="dxa"/>
            <w:tcMar/>
          </w:tcPr>
          <w:p w:rsidR="00935C65" w:rsidRDefault="00740805" w14:paraId="03F0154A" w14:textId="77777777">
            <w:pPr>
              <w:jc w:val="center"/>
            </w:pPr>
            <w:r>
              <w:t>Outras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7" w:type="dxa"/>
            <w:tcMar/>
          </w:tcPr>
          <w:p w:rsidR="00935C65" w:rsidRDefault="00740805" w14:paraId="46FE0C09" w14:textId="77777777">
            <w:pPr>
              <w:jc w:val="center"/>
            </w:pPr>
            <w:r>
              <w:rPr>
                <w:b/>
                <w:bCs/>
              </w:rPr>
              <w:t>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9" w:type="dxa"/>
            <w:tcMar/>
          </w:tcPr>
          <w:p w:rsidR="00935C65" w:rsidRDefault="00740805" w14:paraId="40C3ABA6" w14:textId="77777777">
            <w:pPr>
              <w:jc w:val="center"/>
            </w:pPr>
            <w:r>
              <w:rPr>
                <w:b/>
                <w:bCs/>
              </w:rPr>
              <w:t>valor p</w:t>
            </w:r>
          </w:p>
        </w:tc>
      </w:tr>
      <w:tr w:rsidR="00935C65" w:rsidTr="46CCF040" w14:paraId="45C5736B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5" w:type="dxa"/>
            <w:tcMar/>
          </w:tcPr>
          <w:p w:rsidR="00935C65" w:rsidRDefault="00740805" w14:paraId="3C04EFF0" w14:textId="77777777">
            <w:pPr>
              <w:jc w:val="center"/>
            </w:pPr>
            <w:r>
              <w:rPr>
                <w:b/>
                <w:bCs/>
              </w:rPr>
              <w:t>Escore de Charlson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40" w:type="dxa"/>
            <w:tcMar/>
          </w:tcPr>
          <w:p w:rsidR="00935C65" w:rsidRDefault="00935C65" w14:paraId="3FE9F23F" w14:textId="77777777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" w:type="dxa"/>
            <w:tcMar/>
          </w:tcPr>
          <w:p w:rsidR="00935C65" w:rsidRDefault="00935C65" w14:paraId="1F72F646" w14:textId="7777777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95" w:type="dxa"/>
            <w:tcMar/>
          </w:tcPr>
          <w:p w:rsidR="00935C65" w:rsidRDefault="00935C65" w14:paraId="08CE6F91" w14:textId="77777777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" w:type="dxa"/>
            <w:tcMar/>
          </w:tcPr>
          <w:p w:rsidR="00935C65" w:rsidRDefault="00935C65" w14:paraId="61CDCEAD" w14:textId="7777777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7" w:type="dxa"/>
            <w:tcMar/>
          </w:tcPr>
          <w:p w:rsidR="00935C65" w:rsidRDefault="00935C65" w14:paraId="6BB9E253" w14:textId="77777777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9" w:type="dxa"/>
            <w:tcMar/>
          </w:tcPr>
          <w:p w:rsidR="00935C65" w:rsidRDefault="00740805" w14:paraId="4D74DB76" w14:textId="77777777">
            <w:pPr>
              <w:jc w:val="center"/>
            </w:pPr>
            <w:r>
              <w:t>0.5</w:t>
            </w:r>
          </w:p>
        </w:tc>
      </w:tr>
      <w:tr w:rsidR="00935C65" w:rsidTr="46CCF040" w14:paraId="4225771C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5" w:type="dxa"/>
            <w:tcMar/>
          </w:tcPr>
          <w:p w:rsidR="00935C65" w:rsidRDefault="00740805" w14:paraId="4018C83E" w14:textId="77777777">
            <w:pPr>
              <w:jc w:val="center"/>
            </w:pPr>
            <w:r>
              <w:t>0%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40" w:type="dxa"/>
            <w:tcMar/>
          </w:tcPr>
          <w:p w:rsidR="00935C65" w:rsidRDefault="00740805" w14:paraId="78941E47" w14:textId="77777777">
            <w:pPr>
              <w:jc w:val="center"/>
            </w:pPr>
            <w: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" w:type="dxa"/>
            <w:tcMar/>
          </w:tcPr>
          <w:p w:rsidR="00935C65" w:rsidRDefault="00740805" w14:paraId="5D369756" w14:textId="77777777">
            <w:pPr>
              <w:jc w:val="center"/>
            </w:pPr>
            <w:r>
              <w:t>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95" w:type="dxa"/>
            <w:tcMar/>
          </w:tcPr>
          <w:p w:rsidR="00935C65" w:rsidRDefault="00740805" w14:paraId="44240AAE" w14:textId="77777777">
            <w:pPr>
              <w:jc w:val="center"/>
            </w:pPr>
            <w: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" w:type="dxa"/>
            <w:tcMar/>
          </w:tcPr>
          <w:p w:rsidR="00935C65" w:rsidRDefault="00740805" w14:paraId="29B4EA11" w14:textId="77777777">
            <w:pPr>
              <w:jc w:val="center"/>
            </w:pPr>
            <w: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7" w:type="dxa"/>
            <w:tcMar/>
          </w:tcPr>
          <w:p w:rsidR="00935C65" w:rsidRDefault="00740805" w14:paraId="36334656" w14:textId="77777777">
            <w:pPr>
              <w:jc w:val="center"/>
            </w:pPr>
            <w:r>
              <w:t>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9" w:type="dxa"/>
            <w:tcMar/>
          </w:tcPr>
          <w:p w:rsidR="00935C65" w:rsidRDefault="00935C65" w14:paraId="23DE523C" w14:textId="77777777"/>
        </w:tc>
      </w:tr>
      <w:tr w:rsidR="00935C65" w:rsidTr="46CCF040" w14:paraId="343EA2A6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5" w:type="dxa"/>
            <w:tcMar/>
          </w:tcPr>
          <w:p w:rsidR="00935C65" w:rsidRDefault="00740805" w14:paraId="1EA93759" w14:textId="77777777">
            <w:pPr>
              <w:jc w:val="center"/>
            </w:pPr>
            <w:r>
              <w:t>1% a 5%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40" w:type="dxa"/>
            <w:tcMar/>
          </w:tcPr>
          <w:p w:rsidR="00935C65" w:rsidRDefault="00740805" w14:paraId="78E884CA" w14:textId="77777777">
            <w:pPr>
              <w:jc w:val="center"/>
            </w:pPr>
            <w: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" w:type="dxa"/>
            <w:tcMar/>
          </w:tcPr>
          <w:p w:rsidR="00935C65" w:rsidRDefault="00740805" w14:paraId="1B87E3DE" w14:textId="77777777">
            <w:pPr>
              <w:jc w:val="center"/>
            </w:pPr>
            <w: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95" w:type="dxa"/>
            <w:tcMar/>
          </w:tcPr>
          <w:p w:rsidR="00935C65" w:rsidRDefault="00740805" w14:paraId="7842F596" w14:textId="77777777">
            <w:pPr>
              <w:jc w:val="center"/>
            </w:pPr>
            <w: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" w:type="dxa"/>
            <w:tcMar/>
          </w:tcPr>
          <w:p w:rsidR="00935C65" w:rsidRDefault="00740805" w14:paraId="279935FF" w14:textId="77777777">
            <w:pPr>
              <w:jc w:val="center"/>
            </w:pPr>
            <w: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7" w:type="dxa"/>
            <w:tcMar/>
          </w:tcPr>
          <w:p w:rsidR="00935C65" w:rsidRDefault="00740805" w14:paraId="4E1E336A" w14:textId="77777777">
            <w:pPr>
              <w:jc w:val="center"/>
            </w:pPr>
            <w: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9" w:type="dxa"/>
            <w:tcMar/>
          </w:tcPr>
          <w:p w:rsidR="00935C65" w:rsidRDefault="00935C65" w14:paraId="52E56223" w14:textId="77777777"/>
        </w:tc>
      </w:tr>
      <w:tr w:rsidR="00935C65" w:rsidTr="46CCF040" w14:paraId="286C2228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5" w:type="dxa"/>
            <w:tcMar/>
          </w:tcPr>
          <w:p w:rsidR="00935C65" w:rsidRDefault="00740805" w14:paraId="69E63CFA" w14:textId="77777777">
            <w:pPr>
              <w:jc w:val="center"/>
            </w:pPr>
            <w:r>
              <w:t>6% a 10%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40" w:type="dxa"/>
            <w:tcMar/>
          </w:tcPr>
          <w:p w:rsidR="00935C65" w:rsidRDefault="00740805" w14:paraId="7B7EFE02" w14:textId="77777777">
            <w:pPr>
              <w:jc w:val="center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" w:type="dxa"/>
            <w:tcMar/>
          </w:tcPr>
          <w:p w:rsidR="00935C65" w:rsidRDefault="00740805" w14:paraId="2CC21B90" w14:textId="77777777">
            <w:pPr>
              <w:jc w:val="center"/>
            </w:pPr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95" w:type="dxa"/>
            <w:tcMar/>
          </w:tcPr>
          <w:p w:rsidR="00935C65" w:rsidRDefault="00740805" w14:paraId="2E32D521" w14:textId="77777777">
            <w:pPr>
              <w:jc w:val="center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" w:type="dxa"/>
            <w:tcMar/>
          </w:tcPr>
          <w:p w:rsidR="00935C65" w:rsidRDefault="00740805" w14:paraId="76DB90EB" w14:textId="77777777">
            <w:pPr>
              <w:jc w:val="center"/>
            </w:pPr>
            <w: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7" w:type="dxa"/>
            <w:tcMar/>
          </w:tcPr>
          <w:p w:rsidR="00935C65" w:rsidRDefault="00740805" w14:paraId="44B0A208" w14:textId="77777777">
            <w:pPr>
              <w:jc w:val="center"/>
            </w:pPr>
            <w: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9" w:type="dxa"/>
            <w:tcMar/>
          </w:tcPr>
          <w:p w:rsidR="00935C65" w:rsidRDefault="00935C65" w14:paraId="07547A01" w14:textId="77777777"/>
        </w:tc>
      </w:tr>
      <w:tr w:rsidR="00935C65" w:rsidTr="46CCF040" w14:paraId="3EE688CA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5" w:type="dxa"/>
            <w:tcMar/>
          </w:tcPr>
          <w:p w:rsidR="00935C65" w:rsidRDefault="00740805" w14:paraId="2DEA5CCB" w14:textId="77777777">
            <w:pPr>
              <w:jc w:val="center"/>
            </w:pPr>
            <w:r>
              <w:t>Maior que 10%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40" w:type="dxa"/>
            <w:tcMar/>
          </w:tcPr>
          <w:p w:rsidR="00935C65" w:rsidRDefault="00740805" w14:paraId="0C50080F" w14:textId="77777777">
            <w:pPr>
              <w:jc w:val="center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" w:type="dxa"/>
            <w:tcMar/>
          </w:tcPr>
          <w:p w:rsidR="00935C65" w:rsidRDefault="00740805" w14:paraId="050B3AD0" w14:textId="77777777">
            <w:pPr>
              <w:jc w:val="center"/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95" w:type="dxa"/>
            <w:tcMar/>
          </w:tcPr>
          <w:p w:rsidR="00935C65" w:rsidRDefault="00740805" w14:paraId="0B778152" w14:textId="77777777">
            <w:pPr>
              <w:jc w:val="center"/>
            </w:pP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" w:type="dxa"/>
            <w:tcMar/>
          </w:tcPr>
          <w:p w:rsidR="00935C65" w:rsidRDefault="00740805" w14:paraId="6B965A47" w14:textId="77777777">
            <w:pPr>
              <w:jc w:val="center"/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7" w:type="dxa"/>
            <w:tcMar/>
          </w:tcPr>
          <w:p w:rsidR="00935C65" w:rsidRDefault="00740805" w14:paraId="1946A7AE" w14:textId="77777777">
            <w:pPr>
              <w:jc w:val="center"/>
            </w:pPr>
            <w: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9" w:type="dxa"/>
            <w:tcMar/>
          </w:tcPr>
          <w:p w:rsidR="00935C65" w:rsidRDefault="00935C65" w14:paraId="5043CB0F" w14:textId="77777777"/>
        </w:tc>
      </w:tr>
      <w:tr w:rsidR="00935C65" w:rsidTr="46CCF040" w14:paraId="1CA22376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5" w:type="dxa"/>
            <w:tcMar/>
          </w:tcPr>
          <w:p w:rsidR="00935C65" w:rsidRDefault="00740805" w14:paraId="51E8FDB7" w14:textId="77777777">
            <w:pPr>
              <w:jc w:val="center"/>
            </w:pPr>
            <w:r>
              <w:rPr>
                <w:b/>
                <w:bCs/>
              </w:rPr>
              <w:t>Total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40" w:type="dxa"/>
            <w:tcMar/>
          </w:tcPr>
          <w:p w:rsidR="00935C65" w:rsidRDefault="00740805" w14:paraId="03853697" w14:textId="77777777">
            <w:pPr>
              <w:jc w:val="center"/>
            </w:pPr>
            <w: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" w:type="dxa"/>
            <w:tcMar/>
          </w:tcPr>
          <w:p w:rsidR="00935C65" w:rsidRDefault="00740805" w14:paraId="7C14D38D" w14:textId="77777777">
            <w:pPr>
              <w:jc w:val="center"/>
            </w:pPr>
            <w:r>
              <w:t>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95" w:type="dxa"/>
            <w:tcMar/>
          </w:tcPr>
          <w:p w:rsidR="00935C65" w:rsidRDefault="00740805" w14:paraId="735DA4F4" w14:textId="77777777">
            <w:pPr>
              <w:jc w:val="center"/>
            </w:pPr>
            <w: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4" w:type="dxa"/>
            <w:tcMar/>
          </w:tcPr>
          <w:p w:rsidR="00935C65" w:rsidRDefault="00740805" w14:paraId="0EB5E791" w14:textId="77777777">
            <w:pPr>
              <w:jc w:val="center"/>
            </w:pPr>
            <w:r>
              <w:t>16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7" w:type="dxa"/>
            <w:tcMar/>
          </w:tcPr>
          <w:p w:rsidR="00935C65" w:rsidRDefault="00740805" w14:paraId="0868EBB2" w14:textId="77777777">
            <w:pPr>
              <w:jc w:val="center"/>
            </w:pPr>
            <w:r>
              <w:t>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9" w:type="dxa"/>
            <w:tcMar/>
          </w:tcPr>
          <w:p w:rsidR="00935C65" w:rsidRDefault="00935C65" w14:paraId="07459315" w14:textId="77777777"/>
        </w:tc>
      </w:tr>
    </w:tbl>
    <w:p w:rsidR="00935C65" w:rsidP="46CCF040" w:rsidRDefault="00740805" w14:paraId="398E5B4E" w14:textId="77777777" w14:noSpellErr="1">
      <w:pPr>
        <w:pStyle w:val="Ttulo1"/>
        <w:rPr/>
      </w:pPr>
      <w:bookmarkStart w:name="exceções-e-observações" w:id="14"/>
      <w:bookmarkEnd w:id="13"/>
      <w:bookmarkEnd w:id="10"/>
      <w:bookmarkStart w:name="_Toc797968781" w:id="532004625"/>
      <w:r w:rsidR="7CC7374C">
        <w:rPr/>
        <w:t>Exceções e Observações</w:t>
      </w:r>
      <w:bookmarkEnd w:id="532004625"/>
    </w:p>
    <w:p w:rsidR="00935C65" w:rsidP="46CCF040" w:rsidRDefault="00740805" w14:paraId="7170E40A" w14:textId="77777777" w14:noSpellErr="1">
      <w:pPr>
        <w:pStyle w:val="Ttulo1"/>
        <w:rPr/>
      </w:pPr>
      <w:bookmarkStart w:name="conclusões" w:id="15"/>
      <w:bookmarkEnd w:id="14"/>
      <w:bookmarkStart w:name="_Toc1411559624" w:id="1687379038"/>
      <w:r w:rsidR="7CC7374C">
        <w:rPr/>
        <w:t>Conclusões</w:t>
      </w:r>
      <w:bookmarkEnd w:id="1687379038"/>
    </w:p>
    <w:p w:rsidR="00935C65" w:rsidRDefault="00740805" w14:paraId="5C38626E" w14:textId="77777777">
      <w:r>
        <w:t>O perfil do paciente que aguarda cirurgia de revisão de ATQ é composto primariamente por idosos aposentados por invalidez, com baixa escolaridade e de baixa renda. Ambos os sexos foram igualmente representados na amostra, tanto na avaliação global quanto c</w:t>
      </w:r>
      <w:r>
        <w:t>omparando com as outras características demográficas.</w:t>
      </w:r>
    </w:p>
    <w:p w:rsidR="00935C65" w:rsidRDefault="00740805" w14:paraId="5F4FEB83" w14:textId="77777777">
      <w:pPr>
        <w:pStyle w:val="Corpodetexto"/>
      </w:pPr>
      <w:r>
        <w:t>O paciente típico na fila de espera já realizou uma ou mais revisões da ATQ que originalmente foi realizada por coxartrose ou fratura. A causa mais frequentemente identificada para revisões foi a Soltur</w:t>
      </w:r>
      <w:r>
        <w:t>a Asséptica Acetabular da ATQ, e sua deambulação foi feita com uso de bengala ou livre.</w:t>
      </w:r>
    </w:p>
    <w:p w:rsidR="00935C65" w:rsidRDefault="00740805" w14:paraId="68ABC23F" w14:textId="77777777">
      <w:pPr>
        <w:pStyle w:val="Corpodetexto"/>
      </w:pPr>
      <w:r>
        <w:t>O tempo de espera médio de três anos e meio. A distribuição do tempo de espera é bimodal, com valores extremos. Distinguem-se dois grupos de pacientes que aguardam a ci</w:t>
      </w:r>
      <w:r>
        <w:t>rurgia há aprox. 2 anos e 6 anos. Dois pacientes aguardam há mais de 10 anos.</w:t>
      </w:r>
    </w:p>
    <w:p w:rsidR="00935C65" w:rsidRDefault="00740805" w14:paraId="181918B4" w14:textId="77777777">
      <w:pPr>
        <w:pStyle w:val="Corpodetexto"/>
      </w:pPr>
      <w:r>
        <w:t>O diagnóstico atual mais prevalente Soltura Asséptica Acetabular. O paciente típico possui escore médio de Charlson 3%, escore médio de HHS 41 e classificação Paprosky 2C. Usa co</w:t>
      </w:r>
      <w:r>
        <w:t>mbinações de analgésicos e quando emprega uma única classe a AINES é mais favorecida.</w:t>
      </w:r>
    </w:p>
    <w:p w:rsidR="00935C65" w:rsidP="46CCF040" w:rsidRDefault="00740805" w14:paraId="1A8A572A" w14:textId="77777777" w14:noSpellErr="1">
      <w:pPr>
        <w:pStyle w:val="Ttulo1"/>
        <w:rPr/>
      </w:pPr>
      <w:bookmarkStart w:name="referências" w:id="16"/>
      <w:bookmarkEnd w:id="15"/>
      <w:bookmarkStart w:name="_Toc1778156210" w:id="943921258"/>
      <w:r w:rsidR="7CC7374C">
        <w:rPr/>
        <w:t>Referências</w:t>
      </w:r>
      <w:bookmarkEnd w:id="943921258"/>
    </w:p>
    <w:p w:rsidR="00935C65" w:rsidP="46CCF040" w:rsidRDefault="00740805" w14:paraId="67F23706" w14:textId="77777777" w14:noSpellErr="1">
      <w:pPr>
        <w:pStyle w:val="Ttulo1"/>
        <w:rPr/>
      </w:pPr>
      <w:bookmarkStart w:name="apêndice" w:id="17"/>
      <w:bookmarkEnd w:id="16"/>
      <w:bookmarkStart w:name="_Toc1439147273" w:id="1093133657"/>
      <w:r w:rsidR="7CC7374C">
        <w:rPr/>
        <w:t>Apêndice</w:t>
      </w:r>
      <w:bookmarkEnd w:id="1093133657"/>
    </w:p>
    <w:p w:rsidR="00935C65" w:rsidP="46CCF040" w:rsidRDefault="00740805" w14:paraId="137906A0" w14:textId="77777777" w14:noSpellErr="1">
      <w:pPr>
        <w:pStyle w:val="Ttulo2"/>
        <w:rPr/>
      </w:pPr>
      <w:bookmarkStart w:name="análise-exploratória-de-dados" w:id="18"/>
      <w:bookmarkStart w:name="_Toc340493058" w:id="444326302"/>
      <w:r w:rsidR="7CC7374C">
        <w:rPr/>
        <w:t>Análise exploratória de dados</w:t>
      </w:r>
      <w:bookmarkEnd w:id="444326302"/>
    </w:p>
    <w:p w:rsidR="00935C65" w:rsidP="46CCF040" w:rsidRDefault="00740805" w14:paraId="2233F73C" w14:textId="77777777" w14:noSpellErr="1">
      <w:pPr>
        <w:pStyle w:val="Ttulo2"/>
        <w:rPr/>
      </w:pPr>
      <w:bookmarkStart w:name="dados-utilizados" w:id="19"/>
      <w:bookmarkEnd w:id="18"/>
      <w:bookmarkStart w:name="_Toc1332051331" w:id="1994599496"/>
      <w:r w:rsidR="7CC7374C">
        <w:rPr/>
        <w:t>Dados utilizados</w:t>
      </w:r>
      <w:bookmarkEnd w:id="1994599496"/>
    </w:p>
    <w:p w:rsidR="00935C65" w:rsidRDefault="00740805" w14:paraId="72D30BDB" w14:textId="77777777">
      <w:r>
        <w:t>Os dados utilizados neste relatório não podem ser publicados online por questões de sigilo.</w:t>
      </w:r>
    </w:p>
    <w:bookmarkEnd w:id="19"/>
    <w:bookmarkEnd w:id="17"/>
    <w:sectPr w:rsidR="00935C65">
      <w:headerReference w:type="default" r:id="rId8"/>
      <w:footerReference w:type="default" r:id="rId9"/>
      <w:pgSz w:w="11906" w:h="16838" w:orient="portrait"/>
      <w:pgMar w:top="1418" w:right="1134" w:bottom="1276" w:left="1134" w:header="709" w:footer="709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740805" w14:paraId="084BD4FB" w14:textId="77777777">
      <w:pPr>
        <w:spacing w:line="240" w:lineRule="auto"/>
      </w:pPr>
      <w:r>
        <w:separator/>
      </w:r>
    </w:p>
  </w:endnote>
  <w:endnote w:type="continuationSeparator" w:id="0">
    <w:p w:rsidR="00000000" w:rsidRDefault="00740805" w14:paraId="7E727D7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default"/>
  </w:font>
  <w:font w:name="Times New Roman">
    <w:panose1 w:val="02020603050405020304"/>
    <w:charset w:val="00"/>
    <w:family w:val="roman"/>
    <w:pitch w:val="variable"/>
  </w:font>
  <w:font w:name="Courier New">
    <w:panose1 w:val="02070309020205020404"/>
    <w:charset w:val="01"/>
    <w:family w:val="auto"/>
    <w:pitch w:val="fixed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1"/>
    <w:family w:val="roman"/>
    <w:pitch w:val="variable"/>
  </w:font>
  <w:font w:name="Arial">
    <w:panose1 w:val="020B0604020202020204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1"/>
    <w:family w:val="roman"/>
    <w:pitch w:val="variable"/>
  </w:font>
  <w:font w:name="Lohit Devanagari">
    <w:panose1 w:val="00000000000000000000"/>
    <w:charset w:val="00"/>
    <w:family w:val="roman"/>
    <w:notTrueType/>
    <w:pitch w:val="default"/>
  </w:font>
  <w:font w:name="Consolas">
    <w:panose1 w:val="020B060902020403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935C65" w:rsidRDefault="00935C65" w14:paraId="637805D2" w14:textId="77777777">
    <w:pPr>
      <w:spacing w:before="120" w:beforeAutospacing="0" w:after="280" w:afterAutospacing="0"/>
    </w:pPr>
  </w:p>
  <w:p w:rsidR="00935C65" w:rsidRDefault="00740805" w14:paraId="463F29E8" w14:textId="77777777">
    <w:pPr>
      <w:spacing w:before="120" w:beforeAutospacing="0" w:after="280" w:afterAutospacing="0"/>
    </w:pPr>
    <w:r>
      <w:rPr>
        <w:noProof/>
      </w:rPr>
      <mc:AlternateContent>
        <mc:Choice Requires="wps">
          <w:drawing>
            <wp:inline distT="0" distB="0" distL="0" distR="0" wp14:anchorId="3A025318" wp14:editId="07777777">
              <wp:extent cx="6123305" cy="20955"/>
              <wp:effectExtent l="0" t="0" r="0" b="0"/>
              <wp:docPr id="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2520" cy="201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Forma2" style="width:482.15pt;height: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color="#a0a0a0" stroked="f" strokeweight="0" w14:anchorId="66A3E7B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">
              <w10:anchorlock/>
            </v:rect>
          </w:pict>
        </mc:Fallback>
      </mc:AlternateContent>
    </w:r>
  </w:p>
  <w:tbl>
    <w:tblPr>
      <w:tblW w:w="9638" w:type="dxa"/>
      <w:jc w:val="center"/>
      <w:tblLayout w:type="fixed"/>
      <w:tblLook w:val="04A0" w:firstRow="1" w:lastRow="0" w:firstColumn="1" w:lastColumn="0" w:noHBand="0" w:noVBand="1"/>
    </w:tblPr>
    <w:tblGrid>
      <w:gridCol w:w="3632"/>
      <w:gridCol w:w="168"/>
      <w:gridCol w:w="3740"/>
      <w:gridCol w:w="236"/>
      <w:gridCol w:w="785"/>
      <w:gridCol w:w="236"/>
      <w:gridCol w:w="841"/>
    </w:tblGrid>
    <w:tr w:rsidR="00935C65" w14:paraId="0F44FFC7" w14:textId="77777777">
      <w:trPr>
        <w:cantSplit/>
        <w:trHeight w:val="850" w:hRule="exact"/>
        <w:jc w:val="center"/>
      </w:trPr>
      <w:tc>
        <w:tcPr>
          <w:tcW w:w="3685" w:type="dxa"/>
          <w:shd w:val="clear" w:color="auto" w:fill="auto"/>
          <w:vAlign w:val="center"/>
        </w:tcPr>
        <w:p w:rsidR="00935C65" w:rsidRDefault="00740805" w14:paraId="1B918391" w14:textId="77777777">
          <w:pPr>
            <w:pStyle w:val="Rodap"/>
            <w:widowControl w:val="0"/>
            <w:spacing w:before="0" w:beforeAutospacing="0" w:after="0" w:afterAutospacing="0" w:line="240" w:lineRule="auto"/>
            <w:jc w:val="center"/>
          </w:pPr>
          <w:r>
            <w:rPr>
              <w:rFonts w:cs="Arial"/>
              <w:b/>
              <w:bCs/>
              <w:sz w:val="18"/>
              <w:szCs w:val="18"/>
            </w:rPr>
            <w:t>Felipe Figueiredo</w:t>
          </w:r>
        </w:p>
        <w:p w:rsidR="00935C65" w:rsidRDefault="00935C65" w14:paraId="3B7B4B86" w14:textId="77777777">
          <w:pPr>
            <w:pStyle w:val="Rodap"/>
            <w:widowControl w:val="0"/>
            <w:spacing w:before="0" w:beforeAutospacing="0" w:after="0" w:afterAutospacing="0" w:line="240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</w:p>
        <w:p w:rsidR="00935C65" w:rsidRDefault="00740805" w14:paraId="5B9FB0C0" w14:textId="77777777">
          <w:pPr>
            <w:pStyle w:val="Rodap"/>
            <w:widowControl w:val="0"/>
            <w:spacing w:before="0" w:beforeAutospacing="0" w:after="0" w:afterAutospacing="0" w:line="240" w:lineRule="auto"/>
            <w:jc w:val="center"/>
          </w:pPr>
          <w:r>
            <w:rPr>
              <w:rFonts w:ascii="Consolas" w:hAnsi="Consolas" w:cs="Arial"/>
              <w:bCs/>
              <w:sz w:val="18"/>
              <w:szCs w:val="18"/>
            </w:rPr>
            <w:t>prof.felipefigueiredo@gmail.com</w:t>
          </w:r>
        </w:p>
      </w:tc>
      <w:tc>
        <w:tcPr>
          <w:tcW w:w="170" w:type="dxa"/>
          <w:shd w:val="clear" w:color="auto" w:fill="auto"/>
          <w:tcMar>
            <w:left w:w="0" w:type="dxa"/>
            <w:right w:w="0" w:type="dxa"/>
          </w:tcMar>
          <w:vAlign w:val="center"/>
        </w:tcPr>
        <w:p w:rsidR="00935C65" w:rsidRDefault="00935C65" w14:paraId="3A0FF5F2" w14:textId="77777777">
          <w:pPr>
            <w:pStyle w:val="Rodap"/>
            <w:widowControl w:val="0"/>
            <w:spacing w:before="0" w:beforeAutospacing="0" w:after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3798" w:type="dxa"/>
          <w:shd w:val="clear" w:color="auto" w:fill="auto"/>
          <w:tcMar>
            <w:left w:w="0" w:type="dxa"/>
            <w:right w:w="0" w:type="dxa"/>
          </w:tcMar>
          <w:vAlign w:val="center"/>
        </w:tcPr>
        <w:p w:rsidR="00935C65" w:rsidRDefault="00740805" w14:paraId="343EC6EB" w14:textId="77777777">
          <w:pPr>
            <w:pStyle w:val="Rodap"/>
            <w:widowControl w:val="0"/>
            <w:spacing w:before="0" w:beforeAutospacing="0" w:after="0" w:afterAutospacing="0" w:line="240" w:lineRule="auto"/>
            <w:jc w:val="center"/>
          </w:pPr>
          <w:r>
            <w:rPr>
              <w:rFonts w:cs="Arial"/>
              <w:b/>
              <w:bCs/>
              <w:sz w:val="18"/>
              <w:szCs w:val="18"/>
            </w:rPr>
            <w:t>Consultoria de Bioestatística</w:t>
          </w:r>
        </w:p>
        <w:p w:rsidR="00935C65" w:rsidRDefault="00935C65" w14:paraId="5630AD66" w14:textId="77777777">
          <w:pPr>
            <w:pStyle w:val="Rodap"/>
            <w:widowControl w:val="0"/>
            <w:spacing w:before="0" w:beforeAutospacing="0" w:after="0" w:afterAutospacing="0" w:line="240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</w:p>
        <w:p w:rsidR="00935C65" w:rsidRDefault="00740805" w14:paraId="08314E9D" w14:textId="77777777">
          <w:pPr>
            <w:pStyle w:val="Rodap"/>
            <w:widowControl w:val="0"/>
            <w:spacing w:before="0" w:beforeAutospacing="0" w:after="0" w:afterAutospacing="0" w:line="240" w:lineRule="auto"/>
            <w:jc w:val="center"/>
          </w:pPr>
          <w:r>
            <w:rPr>
              <w:rFonts w:ascii="Consolas" w:hAnsi="Consolas" w:cs="Arial"/>
              <w:bCs/>
              <w:sz w:val="18"/>
              <w:szCs w:val="18"/>
            </w:rPr>
            <w:t>https://github.com/philsf-biostat</w:t>
          </w:r>
        </w:p>
      </w:tc>
      <w:tc>
        <w:tcPr>
          <w:tcW w:w="171" w:type="dxa"/>
          <w:shd w:val="clear" w:color="auto" w:fill="auto"/>
          <w:vAlign w:val="center"/>
        </w:tcPr>
        <w:p w:rsidR="00935C65" w:rsidRDefault="00935C65" w14:paraId="61829076" w14:textId="77777777">
          <w:pPr>
            <w:pStyle w:val="Rodap"/>
            <w:widowControl w:val="0"/>
            <w:spacing w:before="0" w:beforeAutospacing="0" w:after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794" w:type="dxa"/>
          <w:shd w:val="clear" w:color="auto" w:fill="auto"/>
          <w:vAlign w:val="center"/>
        </w:tcPr>
        <w:p w:rsidR="00935C65" w:rsidRDefault="00740805" w14:paraId="60EAE9A4" w14:textId="77777777">
          <w:pPr>
            <w:pStyle w:val="Cabealho"/>
            <w:widowControl w:val="0"/>
            <w:spacing w:before="0" w:beforeAutospacing="0" w:after="0" w:afterAutospacing="0" w:line="240" w:lineRule="auto"/>
            <w:jc w:val="center"/>
          </w:pPr>
          <w:r>
            <w:rPr>
              <w:rFonts w:cs="Arial"/>
              <w:b/>
              <w:bCs/>
              <w:sz w:val="18"/>
              <w:szCs w:val="18"/>
            </w:rPr>
            <w:t>Ano</w:t>
          </w:r>
        </w:p>
        <w:p w:rsidR="00935C65" w:rsidRDefault="00935C65" w14:paraId="2BA226A1" w14:textId="77777777">
          <w:pPr>
            <w:pStyle w:val="Cabealho"/>
            <w:widowControl w:val="0"/>
            <w:spacing w:before="0" w:beforeAutospacing="0" w:after="0" w:afterAutospacing="0" w:line="240" w:lineRule="auto"/>
            <w:jc w:val="center"/>
            <w:rPr>
              <w:rFonts w:cs="Arial"/>
              <w:bCs/>
              <w:sz w:val="18"/>
              <w:szCs w:val="18"/>
            </w:rPr>
          </w:pPr>
        </w:p>
        <w:p w:rsidR="00935C65" w:rsidRDefault="00740805" w14:paraId="65B281B9" w14:textId="77777777">
          <w:pPr>
            <w:pStyle w:val="Cabealho"/>
            <w:widowControl w:val="0"/>
            <w:spacing w:before="0" w:beforeAutospacing="0" w:after="0" w:afterAutospacing="0" w:line="240" w:lineRule="auto"/>
            <w:jc w:val="center"/>
            <w:rPr>
              <w:rFonts w:cs="Arial"/>
              <w:bCs/>
              <w:sz w:val="18"/>
              <w:szCs w:val="18"/>
            </w:rPr>
          </w:pPr>
          <w:r>
            <w:rPr>
              <w:rFonts w:cs="Arial"/>
              <w:bCs/>
              <w:sz w:val="18"/>
              <w:szCs w:val="18"/>
            </w:rPr>
            <w:t>2021</w:t>
          </w:r>
        </w:p>
      </w:tc>
      <w:tc>
        <w:tcPr>
          <w:tcW w:w="169" w:type="dxa"/>
          <w:shd w:val="clear" w:color="auto" w:fill="auto"/>
          <w:vAlign w:val="center"/>
        </w:tcPr>
        <w:p w:rsidR="00935C65" w:rsidRDefault="00935C65" w14:paraId="17AD93B2" w14:textId="77777777">
          <w:pPr>
            <w:pStyle w:val="Cabealho"/>
            <w:widowControl w:val="0"/>
            <w:spacing w:before="0" w:beforeAutospacing="0" w:after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auto"/>
          <w:vAlign w:val="center"/>
        </w:tcPr>
        <w:p w:rsidR="00935C65" w:rsidRDefault="00740805" w14:paraId="3AD3D9EC" w14:textId="77777777">
          <w:pPr>
            <w:pStyle w:val="Rodap"/>
            <w:widowControl w:val="0"/>
            <w:spacing w:before="0" w:beforeAutospacing="0" w:after="0" w:afterAutospacing="0" w:line="240" w:lineRule="auto"/>
            <w:jc w:val="center"/>
          </w:pPr>
          <w:r>
            <w:rPr>
              <w:rFonts w:cs="Arial"/>
              <w:b/>
              <w:bCs/>
              <w:sz w:val="18"/>
              <w:szCs w:val="18"/>
            </w:rPr>
            <w:t>Página</w:t>
          </w:r>
        </w:p>
        <w:p w:rsidR="00935C65" w:rsidRDefault="00935C65" w14:paraId="0DE4B5B7" w14:textId="77777777">
          <w:pPr>
            <w:pStyle w:val="Rodap"/>
            <w:widowControl w:val="0"/>
            <w:spacing w:before="0" w:beforeAutospacing="0" w:after="0" w:afterAutospacing="0" w:line="240" w:lineRule="auto"/>
            <w:jc w:val="center"/>
            <w:rPr>
              <w:rFonts w:cs="Arial"/>
              <w:b/>
              <w:sz w:val="18"/>
              <w:szCs w:val="18"/>
            </w:rPr>
          </w:pPr>
        </w:p>
        <w:p w:rsidR="00935C65" w:rsidRDefault="00740805" w14:paraId="7C452656" w14:textId="77777777">
          <w:pPr>
            <w:pStyle w:val="Rodap"/>
            <w:widowControl w:val="0"/>
            <w:spacing w:before="0" w:beforeAutospacing="0" w:after="0" w:afterAutospacing="0" w:line="240" w:lineRule="auto"/>
            <w:jc w:val="center"/>
          </w:pP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>PAGE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>
            <w:rPr>
              <w:rFonts w:cs="Arial"/>
              <w:b/>
              <w:sz w:val="18"/>
              <w:szCs w:val="18"/>
            </w:rPr>
            <w:t>4</w:t>
          </w:r>
          <w:r>
            <w:rPr>
              <w:rFonts w:cs="Arial"/>
              <w:b/>
              <w:sz w:val="18"/>
              <w:szCs w:val="18"/>
            </w:rPr>
            <w:fldChar w:fldCharType="end"/>
          </w:r>
          <w:r>
            <w:rPr>
              <w:rFonts w:cs="Arial"/>
              <w:b/>
              <w:sz w:val="18"/>
              <w:szCs w:val="18"/>
            </w:rPr>
            <w:t>/</w:t>
          </w: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>NUMPAGES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>
            <w:rPr>
              <w:rFonts w:cs="Arial"/>
              <w:b/>
              <w:sz w:val="18"/>
              <w:szCs w:val="18"/>
            </w:rPr>
            <w:t>4</w:t>
          </w:r>
          <w:r>
            <w:rPr>
              <w:rFonts w:cs="Arial"/>
              <w:b/>
              <w:sz w:val="18"/>
              <w:szCs w:val="18"/>
            </w:rPr>
            <w:fldChar w:fldCharType="end"/>
          </w:r>
        </w:p>
      </w:tc>
    </w:tr>
  </w:tbl>
  <w:p w:rsidR="00935C65" w:rsidRDefault="00935C65" w14:paraId="66204FF1" w14:textId="77777777">
    <w:pPr>
      <w:spacing w:before="280" w:after="2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5C65" w:rsidRDefault="00740805" w14:paraId="6DFB9E20" w14:textId="77777777">
      <w:r>
        <w:separator/>
      </w:r>
    </w:p>
  </w:footnote>
  <w:footnote w:type="continuationSeparator" w:id="0">
    <w:p w:rsidR="00935C65" w:rsidRDefault="00740805" w14:paraId="6537F28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elacomgrade"/>
      <w:tblW w:w="9638" w:type="dxa"/>
      <w:tblInd w:w="108" w:type="dxa"/>
      <w:tblLayout w:type="fixed"/>
      <w:tblLook w:val="04A0" w:firstRow="1" w:lastRow="0" w:firstColumn="1" w:lastColumn="0" w:noHBand="0" w:noVBand="1"/>
    </w:tblPr>
    <w:tblGrid>
      <w:gridCol w:w="9638"/>
    </w:tblGrid>
    <w:tr w:rsidR="00935C65" w14:paraId="008304F1" w14:textId="77777777">
      <w:trPr>
        <w:trHeight w:val="794"/>
      </w:trPr>
      <w:tc>
        <w:tcPr>
          <w:tcW w:w="963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935C65" w:rsidRDefault="00740805" w14:paraId="5B28B87D" w14:textId="77777777">
          <w:pPr>
            <w:widowControl w:val="0"/>
            <w:spacing w:beforeAutospacing="0" w:afterAutospacing="0" w:line="240" w:lineRule="auto"/>
            <w:jc w:val="center"/>
          </w:pPr>
          <w:r>
            <w:rPr>
              <w:b/>
            </w:rPr>
            <w:t>Relatório de Análise de Dados</w:t>
          </w:r>
        </w:p>
        <w:p w:rsidR="00935C65" w:rsidRDefault="00740805" w14:paraId="21D552F1" w14:textId="77777777">
          <w:pPr>
            <w:widowControl w:val="0"/>
            <w:spacing w:beforeAutospacing="0" w:afterAutospacing="0" w:line="240" w:lineRule="auto"/>
            <w:jc w:val="center"/>
          </w:pPr>
          <w:r>
            <w:t>Consultoria de Bioestatística</w:t>
          </w:r>
        </w:p>
      </w:tc>
    </w:tr>
    <w:tr w:rsidR="00935C65" w14:paraId="70DF9E56" w14:textId="77777777">
      <w:trPr>
        <w:trHeight w:val="170"/>
      </w:trPr>
      <w:tc>
        <w:tcPr>
          <w:tcW w:w="963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935C65" w:rsidRDefault="00935C65" w14:paraId="44E871BC" w14:textId="77777777">
          <w:pPr>
            <w:widowControl w:val="0"/>
            <w:spacing w:beforeAutospacing="0" w:afterAutospacing="0" w:line="240" w:lineRule="auto"/>
            <w:jc w:val="center"/>
            <w:rPr>
              <w:sz w:val="18"/>
              <w:szCs w:val="18"/>
            </w:rPr>
          </w:pPr>
        </w:p>
      </w:tc>
    </w:tr>
    <w:tr w:rsidR="00935C65" w14:paraId="1730C2D0" w14:textId="77777777">
      <w:trPr>
        <w:trHeight w:val="227"/>
      </w:trPr>
      <w:tc>
        <w:tcPr>
          <w:tcW w:w="963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935C65" w:rsidRDefault="00740805" w14:paraId="1DBBC871" w14:textId="77777777">
          <w:pPr>
            <w:widowControl w:val="0"/>
            <w:spacing w:beforeAutospacing="0" w:afterAutospacing="0" w:line="240" w:lineRule="auto"/>
            <w:jc w:val="center"/>
          </w:pPr>
          <w:r>
            <w:rPr>
              <w:b/>
              <w:sz w:val="18"/>
              <w:szCs w:val="18"/>
            </w:rPr>
            <w:t>https://github.com/philsf-biostat/analise_dados_FP_</w:t>
          </w:r>
          <w:r>
            <w:rPr>
              <w:b/>
              <w:sz w:val="18"/>
              <w:szCs w:val="18"/>
            </w:rPr>
            <w:t>2021a</w:t>
          </w:r>
        </w:p>
      </w:tc>
    </w:tr>
  </w:tbl>
  <w:p w:rsidR="00935C65" w:rsidRDefault="00740805" w14:paraId="144A5D23" w14:textId="77777777">
    <w:pPr>
      <w:spacing w:before="280" w:beforeAutospacing="0" w:after="120" w:afterAutospacing="0" w:line="240" w:lineRule="auto"/>
      <w:jc w:val="center"/>
    </w:pPr>
    <w:r>
      <w:rPr>
        <w:noProof/>
      </w:rPr>
      <mc:AlternateContent>
        <mc:Choice Requires="wps">
          <w:drawing>
            <wp:inline distT="0" distB="1270" distL="0" distR="0" wp14:anchorId="6B2BA233" wp14:editId="07777777">
              <wp:extent cx="6122670" cy="20955"/>
              <wp:effectExtent l="0" t="0" r="0" b="1270"/>
              <wp:docPr id="1435745947" name="Forma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2160" cy="201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Forma1" style="width:482.1pt;height: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color="#a0a0a0" stroked="f" strokeweight="0" w14:anchorId="2FCC5B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">
              <w10:anchorlock/>
            </v:rect>
          </w:pict>
        </mc:Fallback>
      </mc:AlternateContent>
    </w:r>
  </w:p>
  <w:p w:rsidR="00935C65" w:rsidRDefault="00935C65" w14:paraId="738610EB" w14:textId="77777777">
    <w:pPr>
      <w:spacing w:before="280" w:beforeAutospacing="0" w:after="280" w:afterAutospacing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FFFFFFFF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340E430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464F7736"/>
    <w:multiLevelType w:val="multilevel"/>
    <w:tmpl w:val="FFFFFFFF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46EE4B55"/>
    <w:multiLevelType w:val="multilevel"/>
    <w:tmpl w:val="FFFFFFFF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autoHyphenation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40805"/>
    <w:rsid w:val="00784D58"/>
    <w:rsid w:val="008D6863"/>
    <w:rsid w:val="00935C65"/>
    <w:rsid w:val="00B86B75"/>
    <w:rsid w:val="00BC48D5"/>
    <w:rsid w:val="00C36279"/>
    <w:rsid w:val="00E315A3"/>
    <w:rsid w:val="1EE299A1"/>
    <w:rsid w:val="46CCF040"/>
    <w:rsid w:val="6B41CBDF"/>
    <w:rsid w:val="7CC737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265F1AF"/>
  <w15:docId w15:val="{160017ED-6729-42E9-BF3F-6D4B8E2F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F4269"/>
    <w:pPr>
      <w:spacing w:beforeAutospacing="1" w:afterAutospacing="1" w:line="259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3856E6"/>
    <w:pPr>
      <w:keepNext/>
      <w:keepLines/>
      <w:numPr>
        <w:numId w:val="1"/>
      </w:numPr>
      <w:spacing w:before="240" w:after="280"/>
      <w:ind w:left="431" w:hanging="431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06AE"/>
    <w:pPr>
      <w:keepNext/>
      <w:keepLines/>
      <w:numPr>
        <w:ilvl w:val="1"/>
        <w:numId w:val="1"/>
      </w:numPr>
      <w:spacing w:before="40" w:after="280"/>
      <w:ind w:left="578" w:hanging="578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306AE"/>
    <w:pPr>
      <w:keepNext/>
      <w:keepLines/>
      <w:numPr>
        <w:ilvl w:val="2"/>
        <w:numId w:val="1"/>
      </w:numPr>
      <w:spacing w:before="40" w:after="28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179D6"/>
    <w:pPr>
      <w:keepNext/>
      <w:keepLines/>
      <w:numPr>
        <w:ilvl w:val="3"/>
        <w:numId w:val="1"/>
      </w:numPr>
      <w:spacing w:before="40" w:after="280"/>
      <w:ind w:left="862" w:hanging="862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179D6"/>
    <w:pPr>
      <w:keepNext/>
      <w:keepLines/>
      <w:numPr>
        <w:ilvl w:val="4"/>
        <w:numId w:val="1"/>
      </w:numPr>
      <w:spacing w:before="40" w:after="280"/>
      <w:ind w:left="1009" w:hanging="1009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179D6"/>
    <w:pPr>
      <w:keepNext/>
      <w:keepLines/>
      <w:numPr>
        <w:ilvl w:val="5"/>
        <w:numId w:val="1"/>
      </w:numPr>
      <w:spacing w:before="40" w:after="280"/>
      <w:ind w:left="1151" w:hanging="1151"/>
      <w:outlineLvl w:val="5"/>
    </w:pPr>
    <w:rPr>
      <w:rFonts w:eastAsiaTheme="majorEastAsia" w:cstheme="majorBidi"/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179D6"/>
    <w:pPr>
      <w:keepNext/>
      <w:keepLines/>
      <w:numPr>
        <w:ilvl w:val="6"/>
        <w:numId w:val="1"/>
      </w:numPr>
      <w:spacing w:before="40" w:after="280"/>
      <w:ind w:left="1298" w:hanging="1298"/>
      <w:outlineLvl w:val="6"/>
    </w:pPr>
    <w:rPr>
      <w:rFonts w:eastAsiaTheme="majorEastAsia" w:cstheme="majorBidi"/>
      <w:b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179D6"/>
    <w:pPr>
      <w:keepNext/>
      <w:keepLines/>
      <w:numPr>
        <w:ilvl w:val="7"/>
        <w:numId w:val="1"/>
      </w:numPr>
      <w:spacing w:before="40" w:after="280"/>
      <w:outlineLvl w:val="7"/>
    </w:pPr>
    <w:rPr>
      <w:rFonts w:eastAsiaTheme="majorEastAsia" w:cstheme="majorBidi"/>
      <w:b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714F"/>
    <w:pPr>
      <w:keepNext/>
      <w:keepLines/>
      <w:numPr>
        <w:ilvl w:val="8"/>
        <w:numId w:val="1"/>
      </w:numPr>
      <w:spacing w:before="40" w:after="28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qFormat/>
    <w:rsid w:val="003856E6"/>
    <w:rPr>
      <w:rFonts w:ascii="Arial" w:hAnsi="Arial" w:eastAsiaTheme="majorEastAsia" w:cstheme="majorBidi"/>
      <w:b/>
      <w:caps/>
      <w:sz w:val="20"/>
      <w:szCs w:val="32"/>
    </w:rPr>
  </w:style>
  <w:style w:type="character" w:styleId="Ttulo2Char" w:customStyle="1">
    <w:name w:val="Título 2 Char"/>
    <w:basedOn w:val="Fontepargpadro"/>
    <w:link w:val="Ttulo2"/>
    <w:uiPriority w:val="9"/>
    <w:qFormat/>
    <w:rsid w:val="00A306AE"/>
    <w:rPr>
      <w:rFonts w:ascii="Arial" w:hAnsi="Arial" w:eastAsiaTheme="majorEastAsia" w:cstheme="majorBidi"/>
      <w:b/>
      <w:sz w:val="20"/>
      <w:szCs w:val="26"/>
    </w:rPr>
  </w:style>
  <w:style w:type="character" w:styleId="Ttulo3Char" w:customStyle="1">
    <w:name w:val="Título 3 Char"/>
    <w:basedOn w:val="Fontepargpadro"/>
    <w:link w:val="Ttulo3"/>
    <w:uiPriority w:val="9"/>
    <w:qFormat/>
    <w:rsid w:val="00A306AE"/>
    <w:rPr>
      <w:rFonts w:ascii="Arial" w:hAnsi="Arial" w:eastAsiaTheme="majorEastAsia" w:cstheme="majorBidi"/>
      <w:b/>
      <w:sz w:val="20"/>
      <w:szCs w:val="24"/>
    </w:rPr>
  </w:style>
  <w:style w:type="character" w:styleId="Ttulo4Char" w:customStyle="1">
    <w:name w:val="Título 4 Char"/>
    <w:basedOn w:val="Fontepargpadro"/>
    <w:link w:val="Ttulo4"/>
    <w:uiPriority w:val="9"/>
    <w:qFormat/>
    <w:rsid w:val="005179D6"/>
    <w:rPr>
      <w:rFonts w:ascii="Arial" w:hAnsi="Arial" w:eastAsiaTheme="majorEastAsia" w:cstheme="majorBidi"/>
      <w:b/>
      <w:iCs/>
      <w:sz w:val="20"/>
    </w:rPr>
  </w:style>
  <w:style w:type="character" w:styleId="Ttulo5Char" w:customStyle="1">
    <w:name w:val="Título 5 Char"/>
    <w:basedOn w:val="Fontepargpadro"/>
    <w:link w:val="Ttulo5"/>
    <w:uiPriority w:val="9"/>
    <w:qFormat/>
    <w:rsid w:val="005179D6"/>
    <w:rPr>
      <w:rFonts w:ascii="Arial" w:hAnsi="Arial" w:eastAsiaTheme="majorEastAsia" w:cstheme="majorBidi"/>
      <w:b/>
      <w:sz w:val="20"/>
    </w:rPr>
  </w:style>
  <w:style w:type="character" w:styleId="Ttulo6Char" w:customStyle="1">
    <w:name w:val="Título 6 Char"/>
    <w:basedOn w:val="Fontepargpadro"/>
    <w:link w:val="Ttulo6"/>
    <w:uiPriority w:val="9"/>
    <w:qFormat/>
    <w:rsid w:val="005179D6"/>
    <w:rPr>
      <w:rFonts w:ascii="Arial" w:hAnsi="Arial" w:eastAsiaTheme="majorEastAsia" w:cstheme="majorBidi"/>
      <w:b/>
      <w:sz w:val="20"/>
    </w:rPr>
  </w:style>
  <w:style w:type="character" w:styleId="Ttulo7Char" w:customStyle="1">
    <w:name w:val="Título 7 Char"/>
    <w:basedOn w:val="Fontepargpadro"/>
    <w:link w:val="Ttulo7"/>
    <w:uiPriority w:val="9"/>
    <w:qFormat/>
    <w:rsid w:val="005179D6"/>
    <w:rPr>
      <w:rFonts w:ascii="Arial" w:hAnsi="Arial" w:eastAsiaTheme="majorEastAsia" w:cstheme="majorBidi"/>
      <w:b/>
      <w:iCs/>
      <w:sz w:val="20"/>
    </w:rPr>
  </w:style>
  <w:style w:type="character" w:styleId="Ttulo8Char" w:customStyle="1">
    <w:name w:val="Título 8 Char"/>
    <w:basedOn w:val="Fontepargpadro"/>
    <w:link w:val="Ttulo8"/>
    <w:uiPriority w:val="9"/>
    <w:qFormat/>
    <w:rsid w:val="005179D6"/>
    <w:rPr>
      <w:rFonts w:ascii="Arial" w:hAnsi="Arial" w:eastAsiaTheme="majorEastAsia" w:cstheme="majorBidi"/>
      <w:b/>
      <w:color w:val="272727" w:themeColor="text1" w:themeTint="D8"/>
      <w:sz w:val="20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qFormat/>
    <w:rsid w:val="004F714F"/>
    <w:rPr>
      <w:rFonts w:ascii="Arial" w:hAnsi="Arial" w:eastAsiaTheme="majorEastAsia" w:cstheme="majorBidi"/>
      <w:i/>
      <w:iCs/>
      <w:color w:val="272727" w:themeColor="text1" w:themeTint="D8"/>
      <w:sz w:val="21"/>
      <w:szCs w:val="21"/>
    </w:rPr>
  </w:style>
  <w:style w:type="character" w:styleId="LinkdaInternet" w:customStyle="1">
    <w:name w:val="Link da Internet"/>
    <w:basedOn w:val="Fontepargpadro"/>
    <w:rsid w:val="00504CCE"/>
    <w:rPr>
      <w:color w:val="0563C1"/>
      <w:u w:val="single"/>
    </w:rPr>
  </w:style>
  <w:style w:type="character" w:styleId="CabealhoChar" w:customStyle="1">
    <w:name w:val="Cabeçalho Char"/>
    <w:basedOn w:val="Fontepargpadro"/>
    <w:link w:val="Cabealho"/>
    <w:uiPriority w:val="99"/>
    <w:qFormat/>
    <w:rsid w:val="004E6BD2"/>
    <w:rPr>
      <w:rFonts w:ascii="Arial" w:hAnsi="Arial"/>
      <w:sz w:val="20"/>
    </w:rPr>
  </w:style>
  <w:style w:type="character" w:styleId="RodapChar" w:customStyle="1">
    <w:name w:val="Rodapé Char"/>
    <w:basedOn w:val="Fontepargpadro"/>
    <w:link w:val="Rodap"/>
    <w:uiPriority w:val="99"/>
    <w:qFormat/>
    <w:rsid w:val="004E6BD2"/>
    <w:rPr>
      <w:rFonts w:ascii="Arial" w:hAnsi="Arial"/>
      <w:sz w:val="20"/>
    </w:rPr>
  </w:style>
  <w:style w:type="character" w:styleId="TtuloChar" w:customStyle="1">
    <w:name w:val="Título Char"/>
    <w:basedOn w:val="Fontepargpadro"/>
    <w:link w:val="Ttulo"/>
    <w:qFormat/>
    <w:rsid w:val="00BE194B"/>
    <w:rPr>
      <w:rFonts w:ascii="Arial" w:hAnsi="Arial" w:eastAsiaTheme="majorEastAsia" w:cstheme="majorBidi"/>
      <w:b/>
      <w:spacing w:val="-10"/>
      <w:kern w:val="2"/>
      <w:sz w:val="36"/>
      <w:szCs w:val="56"/>
    </w:rPr>
  </w:style>
  <w:style w:type="character" w:styleId="SubttuloChar" w:customStyle="1">
    <w:name w:val="Subtítulo Char"/>
    <w:basedOn w:val="Fontepargpadro"/>
    <w:link w:val="Subttulo"/>
    <w:qFormat/>
    <w:rsid w:val="00BE194B"/>
    <w:rPr>
      <w:rFonts w:ascii="Arial" w:hAnsi="Arial" w:eastAsiaTheme="minorEastAsia"/>
      <w:b/>
      <w:spacing w:val="15"/>
      <w:sz w:val="20"/>
    </w:rPr>
  </w:style>
  <w:style w:type="character" w:styleId="DataChar" w:customStyle="1">
    <w:name w:val="Data Char"/>
    <w:basedOn w:val="Fontepargpadro"/>
    <w:link w:val="Data"/>
    <w:qFormat/>
    <w:rsid w:val="00BE194B"/>
    <w:rPr>
      <w:rFonts w:ascii="Arial" w:hAnsi="Arial"/>
      <w:sz w:val="20"/>
    </w:rPr>
  </w:style>
  <w:style w:type="character" w:styleId="CorpodetextoChar" w:customStyle="1">
    <w:name w:val="Corpo de texto Char"/>
    <w:basedOn w:val="Fontepargpadro"/>
    <w:link w:val="Corpodetexto"/>
    <w:uiPriority w:val="99"/>
    <w:semiHidden/>
    <w:qFormat/>
    <w:rsid w:val="00BE194B"/>
    <w:rPr>
      <w:rFonts w:ascii="Arial" w:hAnsi="Arial"/>
      <w:sz w:val="20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qFormat/>
    <w:rsid w:val="00504CCE"/>
    <w:rPr>
      <w:rFonts w:ascii="Tahoma" w:hAnsi="Tahoma" w:cs="Tahoma"/>
      <w:sz w:val="16"/>
      <w:szCs w:val="16"/>
    </w:rPr>
  </w:style>
  <w:style w:type="character" w:styleId="Vnculodendice" w:customStyle="1">
    <w:name w:val="Vínculo de índice"/>
    <w:qFormat/>
  </w:style>
  <w:style w:type="paragraph" w:styleId="Ttulo">
    <w:name w:val="Title"/>
    <w:basedOn w:val="Normal"/>
    <w:next w:val="Corpodetexto"/>
    <w:link w:val="TtuloChar"/>
    <w:qFormat/>
    <w:rsid w:val="00BE194B"/>
    <w:pPr>
      <w:spacing w:before="280" w:after="280"/>
      <w:contextualSpacing/>
      <w:jc w:val="center"/>
    </w:pPr>
    <w:rPr>
      <w:rFonts w:eastAsiaTheme="majorEastAsia" w:cstheme="majorBidi"/>
      <w:b/>
      <w:spacing w:val="-10"/>
      <w:kern w:val="2"/>
      <w:sz w:val="36"/>
      <w:szCs w:val="56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E194B"/>
    <w:pPr>
      <w:spacing w:before="280" w:after="12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BA3AFA"/>
    <w:pPr>
      <w:numPr>
        <w:numId w:val="0"/>
      </w:numPr>
      <w:spacing w:after="0" w:afterAutospacing="0"/>
      <w:ind w:left="431" w:hanging="431"/>
      <w:jc w:val="center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86BE9"/>
    <w:pPr>
      <w:spacing w:before="280" w:beforeAutospacing="0" w:after="120" w:afterAutospacing="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886BE9"/>
    <w:pPr>
      <w:spacing w:before="280" w:beforeAutospacing="0" w:after="120" w:afterAutospacing="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886BE9"/>
    <w:pPr>
      <w:spacing w:before="280" w:beforeAutospacing="0" w:after="120" w:afterAutospacing="0"/>
    </w:pPr>
    <w:rPr>
      <w:b/>
    </w:rPr>
  </w:style>
  <w:style w:type="paragraph" w:styleId="CabealhoeRodap" w:customStyle="1">
    <w:name w:val="Cabeçalho e Rodapé"/>
    <w:basedOn w:val="Normal"/>
    <w:qFormat/>
  </w:style>
  <w:style w:type="paragraph" w:styleId="Cabealho">
    <w:name w:val="header"/>
    <w:basedOn w:val="Normal"/>
    <w:link w:val="CabealhoChar"/>
    <w:unhideWhenUsed/>
    <w:rsid w:val="004E6BD2"/>
    <w:pPr>
      <w:tabs>
        <w:tab w:val="center" w:pos="4252"/>
        <w:tab w:val="right" w:pos="8504"/>
      </w:tabs>
      <w:spacing w:before="280" w:after="280"/>
    </w:pPr>
  </w:style>
  <w:style w:type="paragraph" w:styleId="Rodap">
    <w:name w:val="footer"/>
    <w:basedOn w:val="Normal"/>
    <w:link w:val="RodapChar"/>
    <w:unhideWhenUsed/>
    <w:rsid w:val="004E6BD2"/>
    <w:pPr>
      <w:tabs>
        <w:tab w:val="center" w:pos="4252"/>
        <w:tab w:val="right" w:pos="8504"/>
      </w:tabs>
      <w:spacing w:before="280" w:after="280"/>
    </w:pPr>
  </w:style>
  <w:style w:type="paragraph" w:styleId="Subttulo">
    <w:name w:val="Subtitle"/>
    <w:basedOn w:val="Normal"/>
    <w:next w:val="Normal"/>
    <w:link w:val="SubttuloChar"/>
    <w:qFormat/>
    <w:rsid w:val="00BE194B"/>
    <w:pPr>
      <w:spacing w:line="252" w:lineRule="auto"/>
      <w:jc w:val="center"/>
    </w:pPr>
    <w:rPr>
      <w:rFonts w:eastAsiaTheme="minorEastAsia"/>
      <w:b/>
      <w:spacing w:val="15"/>
    </w:rPr>
  </w:style>
  <w:style w:type="paragraph" w:styleId="Data">
    <w:name w:val="Date"/>
    <w:basedOn w:val="Normal"/>
    <w:next w:val="Normal"/>
    <w:link w:val="DataChar"/>
    <w:unhideWhenUsed/>
    <w:qFormat/>
    <w:rsid w:val="00BE194B"/>
    <w:pPr>
      <w:spacing w:line="252" w:lineRule="auto"/>
      <w:jc w:val="center"/>
    </w:pPr>
  </w:style>
  <w:style w:type="paragraph" w:styleId="Author" w:customStyle="1">
    <w:name w:val="Author"/>
    <w:next w:val="Corpodetexto"/>
    <w:qFormat/>
    <w:rsid w:val="00BE194B"/>
    <w:pPr>
      <w:keepNext/>
      <w:keepLines/>
      <w:spacing w:line="252" w:lineRule="auto"/>
      <w:jc w:val="center"/>
    </w:pPr>
    <w:rPr>
      <w:rFonts w:ascii="Arial" w:hAnsi="Arial"/>
      <w:szCs w:val="24"/>
      <w:lang w:val="en-US"/>
    </w:rPr>
  </w:style>
  <w:style w:type="paragraph" w:styleId="PargrafodaLista">
    <w:name w:val="List Paragraph"/>
    <w:basedOn w:val="Normal"/>
    <w:uiPriority w:val="34"/>
    <w:qFormat/>
    <w:rsid w:val="007F4269"/>
    <w:pPr>
      <w:spacing w:line="252" w:lineRule="auto"/>
      <w:ind w:left="720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504CCE"/>
    <w:pPr>
      <w:spacing w:before="280" w:after="280" w:line="240" w:lineRule="auto"/>
    </w:pPr>
    <w:rPr>
      <w:rFonts w:ascii="Tahoma" w:hAnsi="Tahoma" w:cs="Tahoma"/>
      <w:sz w:val="16"/>
      <w:szCs w:val="16"/>
    </w:rPr>
  </w:style>
  <w:style w:type="paragraph" w:styleId="Contedodatabela" w:customStyle="1">
    <w:name w:val="Conteúdo da tabela"/>
    <w:basedOn w:val="Normal"/>
    <w:qFormat/>
    <w:pPr>
      <w:suppressLineNumbers/>
    </w:pPr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rsid w:val="0006330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Clara1" w:customStyle="1">
    <w:name w:val="Tabela de Grade Clara1"/>
    <w:basedOn w:val="Tabelanormal"/>
    <w:uiPriority w:val="40"/>
    <w:rsid w:val="003C1FAA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</w:style>
  <w:style w:type="table" w:styleId="SimplesTabela11" w:customStyle="1">
    <w:name w:val="Simples Tabela 11"/>
    <w:basedOn w:val="Tabelanormal"/>
    <w:uiPriority w:val="41"/>
    <w:rsid w:val="003C1FAA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31" w:customStyle="1">
    <w:name w:val="Simples Tabela 31"/>
    <w:basedOn w:val="Tabelanormal"/>
    <w:uiPriority w:val="43"/>
    <w:rsid w:val="003C1FAA"/>
    <w:tblPr>
      <w:tblStyleRowBandSize w:val="1"/>
      <w:tblStyleColBandSize w:val="1"/>
    </w:tblPr>
    <w:tcPr>
      <w:vAlign w:val="center"/>
    </w:tcPr>
    <w:tblStylePr w:type="firstRow">
      <w:rPr>
        <w:b/>
        <w:bCs/>
        <w:cap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000000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1Clara1" w:customStyle="1">
    <w:name w:val="Tabela de Grade 1 Clara1"/>
    <w:basedOn w:val="Tabelanormal"/>
    <w:uiPriority w:val="46"/>
    <w:rsid w:val="002E546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NormalTable0" w:customStyle="1">
    <w:name w:val="Normal Table0"/>
    <w:basedOn w:val="Tabelaprofissional"/>
    <w:uiPriority w:val="99"/>
    <w:rsid w:val="000C686B"/>
    <w:rPr>
      <w:sz w:val="18"/>
      <w:szCs w:val="20"/>
      <w:lang w:eastAsia="pt-BR"/>
    </w:rPr>
    <w:tblPr>
      <w:tblStyleRowBandSize w:val="1"/>
      <w:tblStyleColBandSize w:val="1"/>
    </w:tblPr>
    <w:tcPr>
      <w:shd w:val="clear" w:color="auto" w:fill="auto"/>
    </w:tcPr>
    <w:tblStylePr w:type="firstRow">
      <w:pPr>
        <w:jc w:val="center"/>
      </w:pPr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clear" w:color="auto" w:fill="BFBFBF" w:themeFill="background1" w:themeFillShade="B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0C686B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-3">
    <w:name w:val="Table Simple 3"/>
    <w:basedOn w:val="Tabelanormal"/>
    <w:uiPriority w:val="99"/>
    <w:semiHidden/>
    <w:unhideWhenUsed/>
    <w:rsid w:val="000C686B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SourceCode" w:customStyle="1">
    <w:name w:val="Source Code"/>
    <w:basedOn w:val="Normal"/>
    <w:pPr>
      <w:shd w:val="clear" w:color="auto" w:fill="F8F8F8"/>
      <w:wordWrap w:val="0"/>
    </w:pPr>
  </w:style>
  <w:style w:type="character" w:styleId="KeywordTok" w:customStyle="1">
    <w:name w:val="KeywordTok"/>
    <w:rPr>
      <w:b/>
      <w:color w:val="204A87"/>
      <w:shd w:val="clear" w:color="auto" w:fill="F8F8F8"/>
    </w:rPr>
  </w:style>
  <w:style w:type="character" w:styleId="DataTypeTok" w:customStyle="1">
    <w:name w:val="DataTypeTok"/>
    <w:rPr>
      <w:color w:val="204A87"/>
      <w:shd w:val="clear" w:color="auto" w:fill="F8F8F8"/>
    </w:rPr>
  </w:style>
  <w:style w:type="character" w:styleId="DecValTok" w:customStyle="1">
    <w:name w:val="DecValTok"/>
    <w:rPr>
      <w:color w:val="0000CF"/>
      <w:shd w:val="clear" w:color="auto" w:fill="F8F8F8"/>
    </w:rPr>
  </w:style>
  <w:style w:type="character" w:styleId="BaseNTok" w:customStyle="1">
    <w:name w:val="BaseNTok"/>
    <w:rPr>
      <w:color w:val="0000CF"/>
      <w:shd w:val="clear" w:color="auto" w:fill="F8F8F8"/>
    </w:rPr>
  </w:style>
  <w:style w:type="character" w:styleId="FloatTok" w:customStyle="1">
    <w:name w:val="FloatTok"/>
    <w:rPr>
      <w:color w:val="0000CF"/>
      <w:shd w:val="clear" w:color="auto" w:fill="F8F8F8"/>
    </w:rPr>
  </w:style>
  <w:style w:type="character" w:styleId="ConstantTok" w:customStyle="1">
    <w:name w:val="ConstantTok"/>
    <w:rPr>
      <w:color w:val="000000"/>
      <w:shd w:val="clear" w:color="auto" w:fill="F8F8F8"/>
    </w:rPr>
  </w:style>
  <w:style w:type="character" w:styleId="CharTok" w:customStyle="1">
    <w:name w:val="CharTok"/>
    <w:rPr>
      <w:color w:val="4E9A06"/>
      <w:shd w:val="clear" w:color="auto" w:fill="F8F8F8"/>
    </w:rPr>
  </w:style>
  <w:style w:type="character" w:styleId="SpecialCharTok" w:customStyle="1">
    <w:name w:val="SpecialCharTok"/>
    <w:rPr>
      <w:color w:val="000000"/>
      <w:shd w:val="clear" w:color="auto" w:fill="F8F8F8"/>
    </w:rPr>
  </w:style>
  <w:style w:type="character" w:styleId="StringTok" w:customStyle="1">
    <w:name w:val="StringTok"/>
    <w:rPr>
      <w:color w:val="4E9A06"/>
      <w:shd w:val="clear" w:color="auto" w:fill="F8F8F8"/>
    </w:rPr>
  </w:style>
  <w:style w:type="character" w:styleId="VerbatimStringTok" w:customStyle="1">
    <w:name w:val="VerbatimStringTok"/>
    <w:rPr>
      <w:color w:val="4E9A06"/>
      <w:shd w:val="clear" w:color="auto" w:fill="F8F8F8"/>
    </w:rPr>
  </w:style>
  <w:style w:type="character" w:styleId="SpecialStringTok" w:customStyle="1">
    <w:name w:val="SpecialStringTok"/>
    <w:rPr>
      <w:color w:val="4E9A06"/>
      <w:shd w:val="clear" w:color="auto" w:fill="F8F8F8"/>
    </w:rPr>
  </w:style>
  <w:style w:type="character" w:styleId="ImportTok" w:customStyle="1">
    <w:name w:val="ImportTok"/>
    <w:rPr>
      <w:shd w:val="clear" w:color="auto" w:fill="F8F8F8"/>
    </w:rPr>
  </w:style>
  <w:style w:type="character" w:styleId="CommentTok" w:customStyle="1">
    <w:name w:val="CommentTok"/>
    <w:rPr>
      <w:i/>
      <w:color w:val="8F5902"/>
      <w:shd w:val="clear" w:color="auto" w:fill="F8F8F8"/>
    </w:rPr>
  </w:style>
  <w:style w:type="character" w:styleId="DocumentationTok" w:customStyle="1">
    <w:name w:val="DocumentationTok"/>
    <w:rPr>
      <w:b/>
      <w:i/>
      <w:color w:val="8F5902"/>
      <w:shd w:val="clear" w:color="auto" w:fill="F8F8F8"/>
    </w:rPr>
  </w:style>
  <w:style w:type="character" w:styleId="AnnotationTok" w:customStyle="1">
    <w:name w:val="AnnotationTok"/>
    <w:rPr>
      <w:b/>
      <w:i/>
      <w:color w:val="8F5902"/>
      <w:shd w:val="clear" w:color="auto" w:fill="F8F8F8"/>
    </w:rPr>
  </w:style>
  <w:style w:type="character" w:styleId="CommentVarTok" w:customStyle="1">
    <w:name w:val="CommentVarTok"/>
    <w:rPr>
      <w:b/>
      <w:i/>
      <w:color w:val="8F5902"/>
      <w:shd w:val="clear" w:color="auto" w:fill="F8F8F8"/>
    </w:rPr>
  </w:style>
  <w:style w:type="character" w:styleId="OtherTok" w:customStyle="1">
    <w:name w:val="OtherTok"/>
    <w:rPr>
      <w:color w:val="8F5902"/>
      <w:shd w:val="clear" w:color="auto" w:fill="F8F8F8"/>
    </w:rPr>
  </w:style>
  <w:style w:type="character" w:styleId="FunctionTok" w:customStyle="1">
    <w:name w:val="FunctionTok"/>
    <w:rPr>
      <w:color w:val="000000"/>
      <w:shd w:val="clear" w:color="auto" w:fill="F8F8F8"/>
    </w:rPr>
  </w:style>
  <w:style w:type="character" w:styleId="VariableTok" w:customStyle="1">
    <w:name w:val="VariableTok"/>
    <w:rPr>
      <w:color w:val="000000"/>
      <w:shd w:val="clear" w:color="auto" w:fill="F8F8F8"/>
    </w:rPr>
  </w:style>
  <w:style w:type="character" w:styleId="ControlFlowTok" w:customStyle="1">
    <w:name w:val="ControlFlowTok"/>
    <w:rPr>
      <w:b/>
      <w:color w:val="204A87"/>
      <w:shd w:val="clear" w:color="auto" w:fill="F8F8F8"/>
    </w:rPr>
  </w:style>
  <w:style w:type="character" w:styleId="OperatorTok" w:customStyle="1">
    <w:name w:val="OperatorTok"/>
    <w:rPr>
      <w:b/>
      <w:color w:val="CE5C00"/>
      <w:shd w:val="clear" w:color="auto" w:fill="F8F8F8"/>
    </w:rPr>
  </w:style>
  <w:style w:type="character" w:styleId="BuiltInTok" w:customStyle="1">
    <w:name w:val="BuiltInTok"/>
    <w:rPr>
      <w:shd w:val="clear" w:color="auto" w:fill="F8F8F8"/>
    </w:rPr>
  </w:style>
  <w:style w:type="character" w:styleId="ExtensionTok" w:customStyle="1">
    <w:name w:val="ExtensionTok"/>
    <w:rPr>
      <w:shd w:val="clear" w:color="auto" w:fill="F8F8F8"/>
    </w:rPr>
  </w:style>
  <w:style w:type="character" w:styleId="PreprocessorTok" w:customStyle="1">
    <w:name w:val="PreprocessorTok"/>
    <w:rPr>
      <w:i/>
      <w:color w:val="8F5902"/>
      <w:shd w:val="clear" w:color="auto" w:fill="F8F8F8"/>
    </w:rPr>
  </w:style>
  <w:style w:type="character" w:styleId="AttributeTok" w:customStyle="1">
    <w:name w:val="AttributeTok"/>
    <w:rPr>
      <w:color w:val="C4A000"/>
      <w:shd w:val="clear" w:color="auto" w:fill="F8F8F8"/>
    </w:rPr>
  </w:style>
  <w:style w:type="character" w:styleId="RegionMarkerTok" w:customStyle="1">
    <w:name w:val="RegionMarkerTok"/>
    <w:rPr>
      <w:shd w:val="clear" w:color="auto" w:fill="F8F8F8"/>
    </w:rPr>
  </w:style>
  <w:style w:type="character" w:styleId="InformationTok" w:customStyle="1">
    <w:name w:val="InformationTok"/>
    <w:rPr>
      <w:b/>
      <w:i/>
      <w:color w:val="8F5902"/>
      <w:shd w:val="clear" w:color="auto" w:fill="F8F8F8"/>
    </w:rPr>
  </w:style>
  <w:style w:type="character" w:styleId="WarningTok" w:customStyle="1">
    <w:name w:val="WarningTok"/>
    <w:rPr>
      <w:b/>
      <w:i/>
      <w:color w:val="8F5902"/>
      <w:shd w:val="clear" w:color="auto" w:fill="F8F8F8"/>
    </w:rPr>
  </w:style>
  <w:style w:type="character" w:styleId="AlertTok" w:customStyle="1">
    <w:name w:val="AlertTok"/>
    <w:rPr>
      <w:color w:val="EF2929"/>
      <w:shd w:val="clear" w:color="auto" w:fill="F8F8F8"/>
    </w:rPr>
  </w:style>
  <w:style w:type="character" w:styleId="ErrorTok" w:customStyle="1">
    <w:name w:val="ErrorTok"/>
    <w:rPr>
      <w:b/>
      <w:color w:val="A40000"/>
      <w:shd w:val="clear" w:color="auto" w:fill="F8F8F8"/>
    </w:rPr>
  </w:style>
  <w:style w:type="character" w:styleId="NormalTok" w:customStyle="1">
    <w:name w:val="NormalTok"/>
    <w:rPr>
      <w:shd w:val="clear" w:color="auto" w:fill="F8F8F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glossaryDocument" Target="/word/glossary/document.xml" Id="R47b20f699a23419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7d5cc-4f4a-47bb-9f84-458390e5b548}"/>
      </w:docPartPr>
      <w:docPartBody>
        <w:p w14:paraId="2AB38EB6">
          <w:r>
            <w:rPr>
              <w:rStyle w:val="PlaceholderText"/>
            </w:rPr>
            <w:t>Clique aqui para inserir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Perfil epidemiológico de pacientes aguardando na fila de revisão de ATQ em Santa Catarina</dc:title>
  <dc:creator>De: Felipe Figueiredo Para: Fernando Pina</dc:creator>
  <keywords/>
  <lastModifiedBy>Felipe Figueiredo</lastModifiedBy>
  <revision>5</revision>
  <dcterms:created xsi:type="dcterms:W3CDTF">2021-07-15T00:33:00.0000000Z</dcterms:created>
  <dcterms:modified xsi:type="dcterms:W3CDTF">2021-07-15T00:42:34.9434197Z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Data:  2021-07-14</vt:lpwstr>
  </property>
  <property fmtid="{D5CDD505-2E9C-101B-9397-08002B2CF9AE}" pid="3" name="output">
    <vt:lpwstr/>
  </property>
  <property fmtid="{D5CDD505-2E9C-101B-9397-08002B2CF9AE}" pid="4" name="subtitle">
    <vt:lpwstr>RELATÓRIO: analise_dados_FP_2021a-v01</vt:lpwstr>
  </property>
  <property fmtid="{D5CDD505-2E9C-101B-9397-08002B2CF9AE}" pid="5" name="toc-title">
    <vt:lpwstr>Sumário</vt:lpwstr>
  </property>
</Properties>
</file>