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Comparison of baseline characteristics of patients undergoing ACLR under the option of the LET surgical technique</w:t>
      </w:r>
    </w:p>
    <w:p>
      <w:pPr>
        <w:pStyle w:val="Subttulo"/>
        <w:rPr/>
      </w:pPr>
      <w:r>
        <w:rPr/>
        <w:t>DOCUMENT: SAR-2021-004-TV-v01</w:t>
      </w:r>
    </w:p>
    <w:p>
      <w:pPr>
        <w:pStyle w:val="Author"/>
        <w:rPr/>
      </w:pPr>
      <w:r>
        <w:rPr>
          <w:b/>
          <w:bCs/>
        </w:rPr>
        <w:t>From:</w:t>
      </w:r>
      <w:r>
        <w:rPr/>
        <w:t xml:space="preserve"> Felipe Figueiredo </w:t>
      </w:r>
      <w:r>
        <w:rPr>
          <w:b/>
          <w:bCs/>
        </w:rPr>
        <w:t>To:</w:t>
      </w:r>
      <w:r>
        <w:rPr/>
        <w:t xml:space="preserve"> Thiago Vivacqua</w:t>
      </w:r>
    </w:p>
    <w:p>
      <w:pPr>
        <w:pStyle w:val="Date"/>
        <w:rPr/>
      </w:pPr>
      <w:r>
        <w:rPr>
          <w:b/>
          <w:bCs/>
        </w:rPr>
        <w:t>Date:</w:t>
      </w:r>
      <w:r>
        <w:rPr/>
        <w:t xml:space="preserve"> 2021-08-25</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34332_4125144612">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34334_4125144612">
            <w:r>
              <w:rPr>
                <w:webHidden/>
                <w:rStyle w:val="Vnculodendice"/>
              </w:rPr>
              <w:t xml:space="preserve"> </w:t>
            </w:r>
            <w:r>
              <w:rPr>
                <w:rStyle w:val="Vnculodendice"/>
              </w:rPr>
              <w:t>2  Introduction</w:t>
              <w:tab/>
              <w:t>2</w:t>
            </w:r>
          </w:hyperlink>
        </w:p>
        <w:p>
          <w:pPr>
            <w:pStyle w:val="Sumrio2"/>
            <w:tabs>
              <w:tab w:val="clear" w:pos="9077"/>
              <w:tab w:val="right" w:pos="9638" w:leader="dot"/>
            </w:tabs>
            <w:rPr/>
          </w:pPr>
          <w:hyperlink w:anchor="__RefHeading___Toc34336_4125144612">
            <w:r>
              <w:rPr>
                <w:webHidden/>
                <w:rStyle w:val="Vnculodendice"/>
              </w:rPr>
              <w:t xml:space="preserve"> </w:t>
            </w:r>
            <w:r>
              <w:rPr>
                <w:rStyle w:val="Vnculodendice"/>
              </w:rPr>
              <w:t>2.1  Context</w:t>
              <w:tab/>
              <w:t>2</w:t>
            </w:r>
          </w:hyperlink>
        </w:p>
        <w:p>
          <w:pPr>
            <w:pStyle w:val="Sumrio2"/>
            <w:tabs>
              <w:tab w:val="clear" w:pos="9077"/>
              <w:tab w:val="right" w:pos="9638" w:leader="dot"/>
            </w:tabs>
            <w:rPr/>
          </w:pPr>
          <w:hyperlink w:anchor="__RefHeading___Toc34338_4125144612">
            <w:r>
              <w:rPr>
                <w:webHidden/>
                <w:rStyle w:val="Vnculodendice"/>
              </w:rPr>
              <w:t xml:space="preserve"> </w:t>
            </w:r>
            <w:r>
              <w:rPr>
                <w:rStyle w:val="Vnculodendice"/>
              </w:rPr>
              <w:t>2.2  Objectives</w:t>
              <w:tab/>
              <w:t>2</w:t>
            </w:r>
          </w:hyperlink>
        </w:p>
        <w:p>
          <w:pPr>
            <w:pStyle w:val="Sumrio2"/>
            <w:tabs>
              <w:tab w:val="clear" w:pos="9077"/>
              <w:tab w:val="right" w:pos="9638" w:leader="dot"/>
            </w:tabs>
            <w:rPr/>
          </w:pPr>
          <w:hyperlink w:anchor="__RefHeading___Toc34340_4125144612">
            <w:r>
              <w:rPr>
                <w:webHidden/>
                <w:rStyle w:val="Vnculodendice"/>
              </w:rPr>
              <w:t xml:space="preserve"> </w:t>
            </w:r>
            <w:r>
              <w:rPr>
                <w:rStyle w:val="Vnculodendice"/>
              </w:rPr>
              <w:t>2.3  Hypotheses</w:t>
              <w:tab/>
              <w:t>2</w:t>
            </w:r>
          </w:hyperlink>
        </w:p>
        <w:p>
          <w:pPr>
            <w:pStyle w:val="Sumrio2"/>
            <w:tabs>
              <w:tab w:val="clear" w:pos="9077"/>
              <w:tab w:val="right" w:pos="9638" w:leader="dot"/>
            </w:tabs>
            <w:rPr/>
          </w:pPr>
          <w:hyperlink w:anchor="__RefHeading___Toc34342_4125144612">
            <w:r>
              <w:rPr>
                <w:webHidden/>
                <w:rStyle w:val="Vnculodendice"/>
              </w:rPr>
              <w:t xml:space="preserve"> </w:t>
            </w:r>
            <w:r>
              <w:rPr>
                <w:rStyle w:val="Vnculodendice"/>
              </w:rPr>
              <w:t>2.4  Data reception and cleaning</w:t>
              <w:tab/>
              <w:t>2</w:t>
            </w:r>
          </w:hyperlink>
        </w:p>
        <w:p>
          <w:pPr>
            <w:pStyle w:val="Sumrio1"/>
            <w:tabs>
              <w:tab w:val="clear" w:pos="9360"/>
              <w:tab w:val="right" w:pos="9638" w:leader="dot"/>
            </w:tabs>
            <w:rPr/>
          </w:pPr>
          <w:hyperlink w:anchor="__RefHeading___Toc34344_4125144612">
            <w:r>
              <w:rPr>
                <w:webHidden/>
                <w:rStyle w:val="Vnculodendice"/>
              </w:rPr>
              <w:t xml:space="preserve"> </w:t>
            </w:r>
            <w:r>
              <w:rPr>
                <w:rStyle w:val="Vnculodendice"/>
              </w:rPr>
              <w:t>3  Methods</w:t>
              <w:tab/>
              <w:t>3</w:t>
            </w:r>
          </w:hyperlink>
        </w:p>
        <w:p>
          <w:pPr>
            <w:pStyle w:val="Sumrio2"/>
            <w:tabs>
              <w:tab w:val="clear" w:pos="9077"/>
              <w:tab w:val="right" w:pos="9638" w:leader="dot"/>
            </w:tabs>
            <w:rPr/>
          </w:pPr>
          <w:hyperlink w:anchor="__RefHeading___Toc34346_4125144612">
            <w:r>
              <w:rPr>
                <w:webHidden/>
                <w:rStyle w:val="Vnculodendice"/>
              </w:rPr>
              <w:t xml:space="preserve"> </w:t>
            </w:r>
            <w:r>
              <w:rPr>
                <w:rStyle w:val="Vnculodendice"/>
              </w:rPr>
              <w:t>3.1  Study Variables</w:t>
              <w:tab/>
              <w:t>3</w:t>
            </w:r>
          </w:hyperlink>
        </w:p>
        <w:p>
          <w:pPr>
            <w:pStyle w:val="Sumrio3"/>
            <w:tabs>
              <w:tab w:val="clear" w:pos="8794"/>
              <w:tab w:val="right" w:pos="9638" w:leader="dot"/>
            </w:tabs>
            <w:rPr/>
          </w:pPr>
          <w:hyperlink w:anchor="__RefHeading___Toc34348_4125144612">
            <w:r>
              <w:rPr>
                <w:webHidden/>
                <w:rStyle w:val="Vnculodendice"/>
              </w:rPr>
              <w:t xml:space="preserve"> </w:t>
            </w:r>
            <w:r>
              <w:rPr>
                <w:rStyle w:val="Vnculodendice"/>
              </w:rPr>
              <w:t>3.1.1  Primary and secondary outcomes</w:t>
              <w:tab/>
              <w:t>3</w:t>
            </w:r>
          </w:hyperlink>
        </w:p>
        <w:p>
          <w:pPr>
            <w:pStyle w:val="Sumrio3"/>
            <w:tabs>
              <w:tab w:val="clear" w:pos="8794"/>
              <w:tab w:val="right" w:pos="9638" w:leader="dot"/>
            </w:tabs>
            <w:rPr/>
          </w:pPr>
          <w:hyperlink w:anchor="__RefHeading___Toc34350_4125144612">
            <w:r>
              <w:rPr>
                <w:webHidden/>
                <w:rStyle w:val="Vnculodendice"/>
              </w:rPr>
              <w:t xml:space="preserve"> </w:t>
            </w:r>
            <w:r>
              <w:rPr>
                <w:rStyle w:val="Vnculodendice"/>
              </w:rPr>
              <w:t>3.1.2  Covariates</w:t>
              <w:tab/>
              <w:t>3</w:t>
            </w:r>
          </w:hyperlink>
        </w:p>
        <w:p>
          <w:pPr>
            <w:pStyle w:val="Sumrio2"/>
            <w:tabs>
              <w:tab w:val="clear" w:pos="9077"/>
              <w:tab w:val="right" w:pos="9638" w:leader="dot"/>
            </w:tabs>
            <w:rPr/>
          </w:pPr>
          <w:hyperlink w:anchor="__RefHeading___Toc34352_4125144612">
            <w:r>
              <w:rPr>
                <w:webHidden/>
                <w:rStyle w:val="Vnculodendice"/>
              </w:rPr>
              <w:t xml:space="preserve"> </w:t>
            </w:r>
            <w:r>
              <w:rPr>
                <w:rStyle w:val="Vnculodendice"/>
              </w:rPr>
              <w:t>3.2  Statistical analyses</w:t>
              <w:tab/>
              <w:t>3</w:t>
            </w:r>
          </w:hyperlink>
        </w:p>
        <w:p>
          <w:pPr>
            <w:pStyle w:val="Sumrio3"/>
            <w:tabs>
              <w:tab w:val="clear" w:pos="8794"/>
              <w:tab w:val="right" w:pos="9638" w:leader="dot"/>
            </w:tabs>
            <w:rPr/>
          </w:pPr>
          <w:hyperlink w:anchor="__RefHeading___Toc34354_4125144612">
            <w:r>
              <w:rPr>
                <w:webHidden/>
                <w:rStyle w:val="Vnculodendice"/>
              </w:rPr>
              <w:t xml:space="preserve"> </w:t>
            </w:r>
            <w:r>
              <w:rPr>
                <w:rStyle w:val="Vnculodendice"/>
              </w:rPr>
              <w:t>3.2.1  Statistical packages</w:t>
              <w:tab/>
              <w:t>4</w:t>
            </w:r>
          </w:hyperlink>
        </w:p>
        <w:p>
          <w:pPr>
            <w:pStyle w:val="Sumrio1"/>
            <w:tabs>
              <w:tab w:val="clear" w:pos="9360"/>
              <w:tab w:val="right" w:pos="9638" w:leader="dot"/>
            </w:tabs>
            <w:rPr/>
          </w:pPr>
          <w:hyperlink w:anchor="__RefHeading___Toc34356_4125144612">
            <w:r>
              <w:rPr>
                <w:webHidden/>
                <w:rStyle w:val="Vnculodendice"/>
              </w:rPr>
              <w:t xml:space="preserve"> </w:t>
            </w:r>
            <w:r>
              <w:rPr>
                <w:rStyle w:val="Vnculodendice"/>
              </w:rPr>
              <w:t>4  Results</w:t>
              <w:tab/>
              <w:t>4</w:t>
            </w:r>
          </w:hyperlink>
        </w:p>
        <w:p>
          <w:pPr>
            <w:pStyle w:val="Sumrio2"/>
            <w:tabs>
              <w:tab w:val="clear" w:pos="9077"/>
              <w:tab w:val="right" w:pos="9638" w:leader="dot"/>
            </w:tabs>
            <w:rPr/>
          </w:pPr>
          <w:hyperlink w:anchor="__RefHeading___Toc34358_4125144612">
            <w:r>
              <w:rPr>
                <w:webHidden/>
                <w:rStyle w:val="Vnculodendice"/>
              </w:rPr>
              <w:t xml:space="preserve"> </w:t>
            </w:r>
            <w:r>
              <w:rPr>
                <w:rStyle w:val="Vnculodendice"/>
              </w:rPr>
              <w:t>4.1  Study population and follow up</w:t>
              <w:tab/>
              <w:t>4</w:t>
            </w:r>
          </w:hyperlink>
        </w:p>
        <w:p>
          <w:pPr>
            <w:pStyle w:val="Sumrio2"/>
            <w:tabs>
              <w:tab w:val="clear" w:pos="9077"/>
              <w:tab w:val="right" w:pos="9638" w:leader="dot"/>
            </w:tabs>
            <w:rPr/>
          </w:pPr>
          <w:hyperlink w:anchor="__RefHeading___Toc34360_4125144612">
            <w:r>
              <w:rPr>
                <w:webHidden/>
                <w:rStyle w:val="Vnculodendice"/>
              </w:rPr>
              <w:t xml:space="preserve"> </w:t>
            </w:r>
            <w:r>
              <w:rPr>
                <w:rStyle w:val="Vnculodendice"/>
              </w:rPr>
              <w:t>4.2  Surgical characteristics and baseline comparison</w:t>
              <w:tab/>
              <w:t>4</w:t>
            </w:r>
          </w:hyperlink>
        </w:p>
        <w:p>
          <w:pPr>
            <w:pStyle w:val="Sumrio1"/>
            <w:tabs>
              <w:tab w:val="clear" w:pos="9360"/>
              <w:tab w:val="right" w:pos="9638" w:leader="dot"/>
            </w:tabs>
            <w:rPr/>
          </w:pPr>
          <w:hyperlink w:anchor="__RefHeading___Toc34362_4125144612">
            <w:r>
              <w:rPr>
                <w:webHidden/>
                <w:rStyle w:val="Vnculodendice"/>
              </w:rPr>
              <w:t xml:space="preserve"> </w:t>
            </w:r>
            <w:r>
              <w:rPr>
                <w:rStyle w:val="Vnculodendice"/>
              </w:rPr>
              <w:t>5  Exceptions and Observations</w:t>
              <w:tab/>
              <w:t>6</w:t>
            </w:r>
          </w:hyperlink>
        </w:p>
        <w:p>
          <w:pPr>
            <w:pStyle w:val="Sumrio1"/>
            <w:tabs>
              <w:tab w:val="clear" w:pos="9360"/>
              <w:tab w:val="right" w:pos="9638" w:leader="dot"/>
            </w:tabs>
            <w:rPr/>
          </w:pPr>
          <w:hyperlink w:anchor="__RefHeading___Toc34364_4125144612">
            <w:r>
              <w:rPr>
                <w:webHidden/>
                <w:rStyle w:val="Vnculodendice"/>
              </w:rPr>
              <w:t xml:space="preserve"> </w:t>
            </w:r>
            <w:r>
              <w:rPr>
                <w:rStyle w:val="Vnculodendice"/>
              </w:rPr>
              <w:t>6  Conclusions</w:t>
              <w:tab/>
              <w:t>6</w:t>
            </w:r>
          </w:hyperlink>
        </w:p>
        <w:p>
          <w:pPr>
            <w:pStyle w:val="Sumrio1"/>
            <w:tabs>
              <w:tab w:val="clear" w:pos="9360"/>
              <w:tab w:val="right" w:pos="9638" w:leader="dot"/>
            </w:tabs>
            <w:rPr/>
          </w:pPr>
          <w:hyperlink w:anchor="__RefHeading___Toc34366_4125144612">
            <w:r>
              <w:rPr>
                <w:webHidden/>
                <w:rStyle w:val="Vnculodendice"/>
              </w:rPr>
              <w:t xml:space="preserve"> </w:t>
            </w:r>
            <w:r>
              <w:rPr>
                <w:rStyle w:val="Vnculodendice"/>
              </w:rPr>
              <w:t>7  References</w:t>
              <w:tab/>
              <w:t>7</w:t>
            </w:r>
          </w:hyperlink>
        </w:p>
        <w:p>
          <w:pPr>
            <w:pStyle w:val="Sumrio1"/>
            <w:tabs>
              <w:tab w:val="clear" w:pos="9360"/>
              <w:tab w:val="right" w:pos="9638" w:leader="dot"/>
            </w:tabs>
            <w:rPr/>
          </w:pPr>
          <w:hyperlink w:anchor="__RefHeading___Toc34368_4125144612">
            <w:r>
              <w:rPr>
                <w:webHidden/>
                <w:rStyle w:val="Vnculodendice"/>
              </w:rPr>
              <w:t xml:space="preserve"> </w:t>
            </w:r>
            <w:r>
              <w:rPr>
                <w:rStyle w:val="Vnculodendice"/>
              </w:rPr>
              <w:t>8  Appendix</w:t>
              <w:tab/>
              <w:t>7</w:t>
            </w:r>
          </w:hyperlink>
        </w:p>
        <w:p>
          <w:pPr>
            <w:pStyle w:val="Sumrio2"/>
            <w:tabs>
              <w:tab w:val="clear" w:pos="9077"/>
              <w:tab w:val="right" w:pos="9638" w:leader="dot"/>
            </w:tabs>
            <w:rPr/>
          </w:pPr>
          <w:hyperlink w:anchor="__RefHeading___Toc34370_4125144612">
            <w:r>
              <w:rPr>
                <w:webHidden/>
                <w:rStyle w:val="Vnculodendice"/>
              </w:rPr>
              <w:t xml:space="preserve"> </w:t>
            </w:r>
            <w:r>
              <w:rPr>
                <w:rStyle w:val="Vnculodendice"/>
              </w:rPr>
              <w:t>8.1  Exploratory data analysis</w:t>
              <w:tab/>
              <w:t>7</w:t>
            </w:r>
          </w:hyperlink>
        </w:p>
        <w:p>
          <w:pPr>
            <w:pStyle w:val="Sumrio2"/>
            <w:tabs>
              <w:tab w:val="clear" w:pos="9077"/>
              <w:tab w:val="right" w:pos="9638" w:leader="dot"/>
            </w:tabs>
            <w:rPr/>
          </w:pPr>
          <w:hyperlink w:anchor="__RefHeading___Toc34372_4125144612">
            <w:r>
              <w:rPr>
                <w:webHidden/>
                <w:rStyle w:val="Vnculodendice"/>
              </w:rPr>
              <w:t xml:space="preserve"> </w:t>
            </w:r>
            <w:r>
              <w:rPr>
                <w:rStyle w:val="Vnculodendice"/>
              </w:rPr>
              <w:t>8.2  Availability</w:t>
              <w:tab/>
              <w:t>9</w:t>
            </w:r>
          </w:hyperlink>
        </w:p>
        <w:p>
          <w:pPr>
            <w:pStyle w:val="Sumrio2"/>
            <w:tabs>
              <w:tab w:val="clear" w:pos="9077"/>
              <w:tab w:val="right" w:pos="9638" w:leader="dot"/>
            </w:tabs>
            <w:rPr/>
          </w:pPr>
          <w:hyperlink w:anchor="__RefHeading___Toc34374_4125144612">
            <w:r>
              <w:rPr>
                <w:webHidden/>
                <w:rStyle w:val="Vnculodendice"/>
              </w:rPr>
              <w:t xml:space="preserve"> </w:t>
            </w:r>
            <w:r>
              <w:rPr>
                <w:rStyle w:val="Vnculodendice"/>
              </w:rPr>
              <w:t>8.3  Analytical dataset</w:t>
              <w:tab/>
              <w:t>10</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Document version</w:t>
      </w:r>
    </w:p>
    <w:tbl>
      <w:tblPr>
        <w:tblStyle w:val="Table"/>
        <w:tblW w:w="9638" w:type="dxa"/>
        <w:jc w:val="center"/>
        <w:tblInd w:w="0" w:type="dxa"/>
        <w:tblLayout w:type="fixed"/>
        <w:tblCellMar>
          <w:top w:w="55" w:type="dxa"/>
          <w:left w:w="55" w:type="dxa"/>
          <w:bottom w:w="55" w:type="dxa"/>
          <w:right w:w="55" w:type="dxa"/>
        </w:tblCellMar>
        <w:tblLook w:val="0020" w:noHBand="0" w:noVBand="0" w:firstColumn="0" w:lastRow="0" w:lastColumn="0" w:firstRow="1"/>
      </w:tblPr>
      <w:tblGrid>
        <w:gridCol w:w="4818"/>
        <w:gridCol w:w="4819"/>
      </w:tblGrid>
      <w:tr>
        <w:trPr/>
        <w:tc>
          <w:tcPr>
            <w:tcW w:w="48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481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48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481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34332_4125144612"/>
      <w:bookmarkEnd w:id="0"/>
      <w:r>
        <w:rPr/>
        <w:t>Abbreviations</w:t>
      </w:r>
    </w:p>
    <w:p>
      <w:pPr>
        <w:pStyle w:val="Compact"/>
        <w:numPr>
          <w:ilvl w:val="0"/>
          <w:numId w:val="2"/>
        </w:numPr>
        <w:rPr/>
      </w:pPr>
      <w:r>
        <w:rPr/>
        <w:t>ACL: anterior cruciate ligament</w:t>
      </w:r>
    </w:p>
    <w:p>
      <w:pPr>
        <w:pStyle w:val="Compact"/>
        <w:numPr>
          <w:ilvl w:val="0"/>
          <w:numId w:val="2"/>
        </w:numPr>
        <w:rPr/>
      </w:pPr>
      <w:r>
        <w:rPr/>
        <w:t>ACLR: ACL revision</w:t>
      </w:r>
    </w:p>
    <w:p>
      <w:pPr>
        <w:pStyle w:val="Compact"/>
        <w:numPr>
          <w:ilvl w:val="0"/>
          <w:numId w:val="2"/>
        </w:numPr>
        <w:rPr/>
      </w:pPr>
      <w:r>
        <w:rPr/>
        <w:t>BMI: body mass index</w:t>
      </w:r>
    </w:p>
    <w:p>
      <w:pPr>
        <w:pStyle w:val="Compact"/>
        <w:numPr>
          <w:ilvl w:val="0"/>
          <w:numId w:val="2"/>
        </w:numPr>
        <w:rPr/>
      </w:pPr>
      <w:r>
        <w:rPr/>
        <w:t>CI: Confidence Interval</w:t>
      </w:r>
    </w:p>
    <w:p>
      <w:pPr>
        <w:pStyle w:val="Compact"/>
        <w:numPr>
          <w:ilvl w:val="0"/>
          <w:numId w:val="2"/>
        </w:numPr>
        <w:rPr/>
      </w:pPr>
      <w:r>
        <w:rPr/>
        <w:t>LCL: lateral collateral ligament</w:t>
      </w:r>
    </w:p>
    <w:p>
      <w:pPr>
        <w:pStyle w:val="Compact"/>
        <w:numPr>
          <w:ilvl w:val="0"/>
          <w:numId w:val="2"/>
        </w:numPr>
        <w:rPr/>
      </w:pPr>
      <w:r>
        <w:rPr/>
        <w:t>LET: lateral extra-articular tenodesis</w:t>
      </w:r>
    </w:p>
    <w:p>
      <w:pPr>
        <w:pStyle w:val="Compact"/>
        <w:numPr>
          <w:ilvl w:val="0"/>
          <w:numId w:val="2"/>
        </w:numPr>
        <w:rPr/>
      </w:pPr>
      <w:r>
        <w:rPr/>
        <w:t>MCL: medial collateral ligament</w:t>
      </w:r>
    </w:p>
    <w:p>
      <w:pPr>
        <w:pStyle w:val="Compact"/>
        <w:numPr>
          <w:ilvl w:val="0"/>
          <w:numId w:val="2"/>
        </w:numPr>
        <w:rPr/>
      </w:pPr>
      <w:r>
        <w:rPr/>
        <w:t>MTPS: medial tibial posterior slope</w:t>
      </w:r>
    </w:p>
    <w:p>
      <w:pPr>
        <w:pStyle w:val="Compact"/>
        <w:numPr>
          <w:ilvl w:val="0"/>
          <w:numId w:val="2"/>
        </w:numPr>
        <w:rPr/>
      </w:pPr>
      <w:r>
        <w:rPr/>
        <w:t>PCL: posterior cruciate ligament</w:t>
      </w:r>
    </w:p>
    <w:p>
      <w:pPr>
        <w:pStyle w:val="Compact"/>
        <w:numPr>
          <w:ilvl w:val="0"/>
          <w:numId w:val="2"/>
        </w:numPr>
        <w:rPr/>
      </w:pPr>
      <w:r>
        <w:rPr/>
        <w:t>SD: standard deviation</w:t>
      </w:r>
      <w:bookmarkStart w:id="1" w:name="abbreviations"/>
      <w:bookmarkEnd w:id="1"/>
    </w:p>
    <w:p>
      <w:pPr>
        <w:pStyle w:val="Ttulo1"/>
        <w:rPr/>
      </w:pPr>
      <w:bookmarkStart w:id="2" w:name="__RefHeading___Toc34334_4125144612"/>
      <w:bookmarkEnd w:id="2"/>
      <w:r>
        <w:rPr/>
        <w:t>Introduction</w:t>
      </w:r>
    </w:p>
    <w:p>
      <w:pPr>
        <w:pStyle w:val="Ttulo2"/>
        <w:rPr/>
      </w:pPr>
      <w:bookmarkStart w:id="3" w:name="__RefHeading___Toc34336_4125144612"/>
      <w:bookmarkEnd w:id="3"/>
      <w:r>
        <w:rPr/>
        <w:t>Context</w:t>
      </w:r>
      <w:bookmarkStart w:id="4" w:name="context"/>
      <w:bookmarkEnd w:id="4"/>
    </w:p>
    <w:p>
      <w:pPr>
        <w:pStyle w:val="Ttulo2"/>
        <w:rPr/>
      </w:pPr>
      <w:bookmarkStart w:id="5" w:name="__RefHeading___Toc34338_4125144612"/>
      <w:bookmarkEnd w:id="5"/>
      <w:r>
        <w:rPr/>
        <w:t>Objectives</w:t>
      </w:r>
    </w:p>
    <w:p>
      <w:pPr>
        <w:pStyle w:val="FirstParagraph"/>
        <w:rPr/>
      </w:pPr>
      <w:r>
        <w:rPr/>
        <w:t>Compare the baseline demographic and clinical characteristics of patients undergoing Anterior Cruciate Ligament Revision surgery whether or not they the Lateral Extra-articular Tenodesis technique was employed.</w:t>
      </w:r>
      <w:bookmarkStart w:id="6" w:name="objectives"/>
      <w:bookmarkEnd w:id="6"/>
    </w:p>
    <w:p>
      <w:pPr>
        <w:pStyle w:val="Ttulo2"/>
        <w:rPr/>
      </w:pPr>
      <w:bookmarkStart w:id="7" w:name="__RefHeading___Toc34340_4125144612"/>
      <w:bookmarkEnd w:id="7"/>
      <w:r>
        <w:rPr/>
        <w:t>Hypotheses</w:t>
      </w:r>
    </w:p>
    <w:p>
      <w:pPr>
        <w:pStyle w:val="FirstParagraph"/>
        <w:rPr/>
      </w:pPr>
      <w:r>
        <w:rPr/>
        <w:t>LET and no LET groups are comparable at baseline.</w:t>
      </w:r>
      <w:bookmarkStart w:id="8" w:name="hypotheses"/>
      <w:bookmarkEnd w:id="8"/>
    </w:p>
    <w:p>
      <w:pPr>
        <w:pStyle w:val="Ttulo2"/>
        <w:rPr/>
      </w:pPr>
      <w:bookmarkStart w:id="9" w:name="__RefHeading___Toc34342_4125144612"/>
      <w:bookmarkEnd w:id="9"/>
      <w:r>
        <w:rPr/>
        <w:t>Data reception and cleaning</w:t>
      </w:r>
    </w:p>
    <w:p>
      <w:pPr>
        <w:pStyle w:val="FirstParagraph"/>
        <w:rPr/>
      </w:pPr>
      <w:r>
        <w:rPr/>
        <w:t xml:space="preserve">In total there were 126 variables in the dataset received. Variables in the raw data sheet were grouped into sections. For this analysis only the baseline </w:t>
      </w:r>
      <w:r>
        <w:rPr>
          <w:b/>
          <w:bCs/>
        </w:rPr>
        <w:t>demographic</w:t>
      </w:r>
      <w:r>
        <w:rPr/>
        <w:t xml:space="preserve"> characteristics and the variables in the </w:t>
      </w:r>
      <w:r>
        <w:rPr>
          <w:b/>
          <w:bCs/>
        </w:rPr>
        <w:t>surgical data most recent revision ACLR</w:t>
      </w:r>
      <w:r>
        <w:rPr/>
        <w:t xml:space="preserve"> section were selected.</w:t>
      </w:r>
    </w:p>
    <w:p>
      <w:pPr>
        <w:pStyle w:val="Corpodotexto"/>
        <w:rPr/>
      </w:pPr>
      <w:r>
        <w:rPr/>
        <w:t>All variables in the analytical set were labeled according to the raw data provided and values were labeled according to the data dictionary for the preparation of production-quality results tables and figures.</w:t>
      </w:r>
    </w:p>
    <w:p>
      <w:pPr>
        <w:pStyle w:val="Corpodotexto"/>
        <w:rPr/>
      </w:pPr>
      <w:r>
        <w:rPr/>
        <w:t>After the cleaning process 12 variables were included in the analysis with 69 observations. Table A1 shows the structure of the analytical dataset (section 8.3). The data cleaning procedures employed are detailed in the analytical plan (</w:t>
      </w:r>
      <w:r>
        <w:rPr>
          <w:b/>
          <w:bCs/>
        </w:rPr>
        <w:t>SAP-2021-004-TV-v01</w:t>
      </w:r>
      <w:r>
        <w:rPr/>
        <w:t>).</w:t>
      </w:r>
      <w:bookmarkStart w:id="10" w:name="introduction"/>
      <w:bookmarkStart w:id="11" w:name="data-reception-and-cleaning"/>
      <w:bookmarkEnd w:id="10"/>
      <w:bookmarkEnd w:id="11"/>
    </w:p>
    <w:p>
      <w:pPr>
        <w:pStyle w:val="Ttulo1"/>
        <w:rPr/>
      </w:pPr>
      <w:bookmarkStart w:id="12" w:name="__RefHeading___Toc34344_4125144612"/>
      <w:bookmarkEnd w:id="12"/>
      <w:r>
        <w:rPr/>
        <w:t>Methods</w:t>
      </w:r>
    </w:p>
    <w:p>
      <w:pPr>
        <w:pStyle w:val="Ttulo2"/>
        <w:rPr/>
      </w:pPr>
      <w:bookmarkStart w:id="13" w:name="__RefHeading___Toc34346_4125144612"/>
      <w:bookmarkEnd w:id="13"/>
      <w:r>
        <w:rPr/>
        <w:t>Study Variables</w:t>
      </w:r>
    </w:p>
    <w:p>
      <w:pPr>
        <w:pStyle w:val="Ttulo3"/>
        <w:rPr/>
      </w:pPr>
      <w:bookmarkStart w:id="14" w:name="__RefHeading___Toc34348_4125144612"/>
      <w:bookmarkEnd w:id="14"/>
      <w:r>
        <w:rPr/>
        <w:t>Primary and secondary outcomes</w:t>
      </w:r>
    </w:p>
    <w:p>
      <w:pPr>
        <w:pStyle w:val="FirstParagraph"/>
        <w:rPr/>
      </w:pPr>
      <w:r>
        <w:rPr/>
        <w:t>This analysis describes the epidemiological characteristics of surgical patients that undergone ACLR, and no endpoints were assessed.</w:t>
      </w:r>
      <w:bookmarkStart w:id="15" w:name="primary-and-secondary-outcomes"/>
      <w:bookmarkEnd w:id="15"/>
    </w:p>
    <w:p>
      <w:pPr>
        <w:pStyle w:val="Ttulo3"/>
        <w:rPr/>
      </w:pPr>
      <w:bookmarkStart w:id="16" w:name="__RefHeading___Toc34350_4125144612"/>
      <w:bookmarkEnd w:id="16"/>
      <w:r>
        <w:rPr/>
        <w:t>Covariates</w:t>
      </w:r>
    </w:p>
    <w:p>
      <w:pPr>
        <w:pStyle w:val="FirstParagraph"/>
        <w:rPr/>
      </w:pPr>
      <w:r>
        <w:rPr/>
        <w:t>The distribution of the characteristics were compared at baseline between the two study groups. Variables to be considered for baseline comparison are:</w:t>
      </w:r>
    </w:p>
    <w:p>
      <w:pPr>
        <w:pStyle w:val="Compact"/>
        <w:numPr>
          <w:ilvl w:val="0"/>
          <w:numId w:val="5"/>
        </w:numPr>
        <w:rPr/>
      </w:pPr>
      <w:r>
        <w:rPr/>
        <w:t>Age</w:t>
      </w:r>
    </w:p>
    <w:p>
      <w:pPr>
        <w:pStyle w:val="Compact"/>
        <w:numPr>
          <w:ilvl w:val="0"/>
          <w:numId w:val="6"/>
        </w:numPr>
        <w:rPr/>
      </w:pPr>
      <w:r>
        <w:rPr/>
        <w:t>Sex</w:t>
      </w:r>
    </w:p>
    <w:p>
      <w:pPr>
        <w:pStyle w:val="Compact"/>
        <w:numPr>
          <w:ilvl w:val="0"/>
          <w:numId w:val="7"/>
        </w:numPr>
        <w:rPr/>
      </w:pPr>
      <w:r>
        <w:rPr/>
        <w:t>BMI</w:t>
      </w:r>
    </w:p>
    <w:p>
      <w:pPr>
        <w:pStyle w:val="Compact"/>
        <w:numPr>
          <w:ilvl w:val="0"/>
          <w:numId w:val="8"/>
        </w:numPr>
        <w:rPr/>
      </w:pPr>
      <w:r>
        <w:rPr/>
        <w:t>Graft diameter</w:t>
      </w:r>
    </w:p>
    <w:p>
      <w:pPr>
        <w:pStyle w:val="Compact"/>
        <w:numPr>
          <w:ilvl w:val="0"/>
          <w:numId w:val="9"/>
        </w:numPr>
        <w:rPr/>
      </w:pPr>
      <w:r>
        <w:rPr/>
        <w:t>Medial meniscus</w:t>
      </w:r>
    </w:p>
    <w:p>
      <w:pPr>
        <w:pStyle w:val="Compact"/>
        <w:numPr>
          <w:ilvl w:val="0"/>
          <w:numId w:val="10"/>
        </w:numPr>
        <w:rPr/>
      </w:pPr>
      <w:r>
        <w:rPr/>
        <w:t>Lateral meniscus</w:t>
      </w:r>
    </w:p>
    <w:p>
      <w:pPr>
        <w:pStyle w:val="Compact"/>
        <w:numPr>
          <w:ilvl w:val="0"/>
          <w:numId w:val="11"/>
        </w:numPr>
        <w:rPr/>
      </w:pPr>
      <w:r>
        <w:rPr/>
        <w:t>Cartilage</w:t>
      </w:r>
      <w:bookmarkStart w:id="17" w:name="study-variables"/>
      <w:bookmarkStart w:id="18" w:name="covariates"/>
      <w:bookmarkEnd w:id="17"/>
      <w:bookmarkEnd w:id="18"/>
    </w:p>
    <w:p>
      <w:pPr>
        <w:pStyle w:val="Ttulo2"/>
        <w:rPr/>
      </w:pPr>
      <w:bookmarkStart w:id="19" w:name="__RefHeading___Toc34352_4125144612"/>
      <w:bookmarkEnd w:id="19"/>
      <w:r>
        <w:rPr/>
        <w:t>Statistical analyses</w:t>
      </w:r>
    </w:p>
    <w:p>
      <w:pPr>
        <w:pStyle w:val="FirstParagraph"/>
        <w:rPr/>
      </w:pPr>
      <w:r>
        <w:rPr/>
        <w:t>The epidemiological profile of each study group (LET and no LET) were described at baseline. Demographic and clinical variables were described as mean and standard deviation or as counts and proportions, as appropriate. Distributions were summarized in tables and visualized in exploratory plots.</w:t>
      </w:r>
    </w:p>
    <w:p>
      <w:pPr>
        <w:pStyle w:val="Corpodotexto"/>
        <w:rPr/>
      </w:pPr>
      <w:r>
        <w:rPr/>
        <w:t>All comparisons were performed as univariate analyses. Continuous variables were compared between groups with the independent t test with Welch correction. Difference in distribution of categorical variables were assessed with the Fisher exact test. No adjustment for covariates were performed.</w:t>
      </w:r>
    </w:p>
    <w:p>
      <w:pPr>
        <w:pStyle w:val="Corpodotexto"/>
        <w:rPr/>
      </w:pPr>
      <w:r>
        <w:rPr/>
        <w:t>All analyses were performed using the significance level of 5%. All significance hypothesis tests and confidence intervals computed were two-tailed.</w:t>
      </w:r>
    </w:p>
    <w:p>
      <w:pPr>
        <w:pStyle w:val="Ttulo3"/>
        <w:rPr/>
      </w:pPr>
      <w:bookmarkStart w:id="20" w:name="__RefHeading___Toc34354_4125144612"/>
      <w:bookmarkEnd w:id="20"/>
      <w:r>
        <w:rPr/>
        <w:t>Statistical packages</w:t>
      </w:r>
    </w:p>
    <w:p>
      <w:pPr>
        <w:pStyle w:val="FirstParagraph"/>
        <w:rPr/>
      </w:pPr>
      <w:r>
        <w:rPr/>
        <w:t xml:space="preserve">This analysis was performed using statistical software </w:t>
      </w:r>
      <w:r>
        <w:rPr>
          <w:rStyle w:val="VerbatimChar"/>
        </w:rPr>
        <w:t>R</w:t>
      </w:r>
      <w:r>
        <w:rPr/>
        <w:t xml:space="preserve"> version 4.1.1.</w:t>
      </w:r>
      <w:bookmarkStart w:id="21" w:name="methods"/>
      <w:bookmarkStart w:id="22" w:name="statistical-analyses"/>
      <w:bookmarkStart w:id="23" w:name="statistical-packages"/>
      <w:bookmarkEnd w:id="21"/>
      <w:bookmarkEnd w:id="22"/>
      <w:bookmarkEnd w:id="23"/>
    </w:p>
    <w:p>
      <w:pPr>
        <w:pStyle w:val="Ttulo1"/>
        <w:rPr/>
      </w:pPr>
      <w:bookmarkStart w:id="24" w:name="__RefHeading___Toc34356_4125144612"/>
      <w:bookmarkEnd w:id="24"/>
      <w:r>
        <w:rPr/>
        <w:t>Results</w:t>
      </w:r>
    </w:p>
    <w:p>
      <w:pPr>
        <w:pStyle w:val="Ttulo2"/>
        <w:rPr/>
      </w:pPr>
      <w:bookmarkStart w:id="25" w:name="__RefHeading___Toc34358_4125144612"/>
      <w:bookmarkEnd w:id="25"/>
      <w:r>
        <w:rPr/>
        <w:t>Study population and follow up</w:t>
      </w:r>
    </w:p>
    <w:p>
      <w:pPr>
        <w:pStyle w:val="FirstParagraph"/>
        <w:rPr/>
      </w:pPr>
      <w:r>
        <w:rPr/>
        <w:t>A total of 69 patients that undergone ACLR surgery were included in the study, where the LET technique was used in 31 patients and 38 acted as a control. Ages varied between 14 and 55 years, with an average age of 27 years with a SD of 10 years. There were 28 (41%) male patients and 41 (59%) female. Patients had BMI values ranging from 20.5 to 40 kg/m2 with average BMI of 26.8 kg/m2 and median 26 kg/m2.</w:t>
      </w:r>
    </w:p>
    <w:p>
      <w:pPr>
        <w:pStyle w:val="Corpodotexto"/>
        <w:rPr/>
      </w:pPr>
      <w:r>
        <w:rPr/>
        <w:t>Primary ACL surgeries recorded occurred between 1984-01-01 and 2017-08-30, and ACL revisions occurred between 2010-03-09 and 2019-05-31. Per patient time between the primary ACL and the most recent ACLR ranged from 33 weeks to 27 years, with an average followup time of 6.57 years between primary and last revision surgeries, and median time of 4.08 years between primary and last revision surgeries.</w:t>
      </w:r>
    </w:p>
    <w:p>
      <w:pPr>
        <w:pStyle w:val="Corpodotexto"/>
        <w:rPr/>
      </w:pPr>
      <w:r>
        <w:rPr/>
        <w:t>The follow up of patients after ACLR ranged from 2 years to 10.3 years, with an average follow up of 4.18 years and median 3.08 years.</w:t>
      </w:r>
    </w:p>
    <w:p>
      <w:pPr>
        <w:pStyle w:val="Corpodotexto"/>
        <w:rPr/>
      </w:pPr>
      <w:r>
        <w:rPr/>
        <w:t>The distributions of these variables can be seen in Figures A1 – A5 (Section 8.1).</w:t>
      </w:r>
    </w:p>
    <w:p>
      <w:pPr>
        <w:pStyle w:val="Corpodotexto"/>
        <w:rPr/>
      </w:pPr>
      <w:r>
        <w:rPr/>
        <w:t>The epidemiological profile of the typical patient that required ACLR surgery was a 27 years female with an average BMI of 26.8 kg/m2.</w:t>
      </w:r>
      <w:bookmarkStart w:id="26" w:name="study-population-and-follow-up"/>
      <w:bookmarkEnd w:id="26"/>
    </w:p>
    <w:p>
      <w:pPr>
        <w:pStyle w:val="Ttulo2"/>
        <w:rPr/>
      </w:pPr>
      <w:bookmarkStart w:id="27" w:name="__RefHeading___Toc34360_4125144612"/>
      <w:bookmarkEnd w:id="27"/>
      <w:r>
        <w:rPr/>
        <w:t>Surgical characteristics and baseline comparison</w:t>
      </w:r>
    </w:p>
    <w:p>
      <w:pPr>
        <w:pStyle w:val="FirstParagraph"/>
        <w:rPr/>
      </w:pPr>
      <w:r>
        <w:rPr/>
        <w:t>Patients included in the study required grafts with diameters ranging from 7.5 to 11 mm. Average graft diameter used was 9.6 mm with an SD of 0.7 mm. Most patients did not require procedures in the medial meniscus (48%), the lateral meniscus (58%) or in the cartilage (96%). A total of 13 patients (19%) had partial resection in the medial meniscus, indicating a possibility of arthrosis in the knee joint, and 12 (17%) had partial resection in the lateral meniscus.</w:t>
      </w:r>
    </w:p>
    <w:p>
      <w:pPr>
        <w:pStyle w:val="Corpodotexto"/>
        <w:rPr/>
      </w:pPr>
      <w:r>
        <w:rPr/>
        <w:t>Most of the characteristics evaluated in this study did not indicate significant differences when using the LET procedure compared to not using it (Table 1). Demographic and clinical characteristics had comparable distributions for sex (p = 0.228), age (Cohen’s D = 0.33, 95% CI = -0.16, 0.81, p = 0.179) and BMI (Cohen’s D = 0.13, 95% CI = -0.40, 0.67, p = 0.619). Surgical characteristics also had comparable distributions for graft diameter (Cohen’s D = 0.05, 95% CI = -0.42, 0.53, p = 0.818), medial meniscus (p = 0.684), lateral meniscus (p = 0.569), cartilage (p = 0.498) and MTPS (Cohens’ D = 0.03, 95% CI = -0.44, 0.51, p = 0.886). Follow up time was significantly lower for patients that had ACLR using the LET technique (Cohen’s D = 0.78, 95% CI = 0.29, 1.3, p = 0.001).</w:t>
      </w:r>
    </w:p>
    <w:p>
      <w:pPr>
        <w:pStyle w:val="TableCaption"/>
        <w:rPr/>
      </w:pPr>
      <w:r>
        <w:rPr>
          <w:b/>
          <w:bCs/>
        </w:rPr>
        <w:t>Table 1</w:t>
      </w:r>
      <w:r>
        <w:rPr/>
        <w:t xml:space="preserve"> Patient characteristics at baseline.</w:t>
        <w:br/>
        <w:t>n (%); Mean (SD); d = Cohen’s D; CI = Confidence Interval; p-value = Fisher’s exact test; Welch Two Sample t-test.</w:t>
      </w:r>
    </w:p>
    <w:tbl>
      <w:tblPr>
        <w:tblStyle w:val="Table"/>
        <w:tblW w:w="5000" w:type="pct"/>
        <w:jc w:val="center"/>
        <w:tblInd w:w="0" w:type="dxa"/>
        <w:tblLayout w:type="fixed"/>
        <w:tblCellMar>
          <w:top w:w="55" w:type="dxa"/>
          <w:left w:w="55" w:type="dxa"/>
          <w:bottom w:w="55" w:type="dxa"/>
          <w:right w:w="55" w:type="dxa"/>
        </w:tblCellMar>
        <w:tblLook w:val="0020" w:noHBand="0" w:noVBand="0" w:firstColumn="0" w:lastRow="0" w:lastColumn="0" w:firstRow="1"/>
      </w:tblPr>
      <w:tblGrid>
        <w:gridCol w:w="3104"/>
        <w:gridCol w:w="1496"/>
        <w:gridCol w:w="1177"/>
        <w:gridCol w:w="1241"/>
        <w:gridCol w:w="557"/>
        <w:gridCol w:w="1154"/>
        <w:gridCol w:w="908"/>
      </w:tblGrid>
      <w:tr>
        <w:trPr/>
        <w:tc>
          <w:tcPr>
            <w:tcW w:w="310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Characteristic</w:t>
            </w:r>
          </w:p>
        </w:tc>
        <w:tc>
          <w:tcPr>
            <w:tcW w:w="149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Overall</w:t>
            </w:r>
            <w:r>
              <w:rPr>
                <w:rFonts w:ascii="Ubuntu" w:hAnsi="Ubuntu"/>
                <w:b/>
                <w:bCs/>
                <w:i w:val="false"/>
                <w:iCs w:val="false"/>
                <w:strike w:val="false"/>
                <w:dstrike w:val="false"/>
                <w:outline w:val="false"/>
                <w:shadow w:val="false"/>
                <w:color w:val="000000"/>
                <w:sz w:val="20"/>
                <w:szCs w:val="20"/>
                <w:u w:val="none"/>
              </w:rPr>
              <w:t>, N = 69</w:t>
            </w:r>
          </w:p>
        </w:tc>
        <w:tc>
          <w:tcPr>
            <w:tcW w:w="117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no</w:t>
            </w:r>
            <w:r>
              <w:rPr>
                <w:rFonts w:ascii="Ubuntu" w:hAnsi="Ubuntu"/>
                <w:b/>
                <w:bCs/>
                <w:i w:val="false"/>
                <w:iCs w:val="false"/>
                <w:strike w:val="false"/>
                <w:dstrike w:val="false"/>
                <w:outline w:val="false"/>
                <w:shadow w:val="false"/>
                <w:color w:val="000000"/>
                <w:sz w:val="20"/>
                <w:szCs w:val="20"/>
                <w:u w:val="none"/>
              </w:rPr>
              <w:t>, N = 38</w:t>
            </w:r>
          </w:p>
        </w:tc>
        <w:tc>
          <w:tcPr>
            <w:tcW w:w="124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yes</w:t>
            </w:r>
            <w:r>
              <w:rPr>
                <w:rFonts w:ascii="Ubuntu" w:hAnsi="Ubuntu"/>
                <w:b/>
                <w:bCs/>
                <w:i w:val="false"/>
                <w:iCs w:val="false"/>
                <w:strike w:val="false"/>
                <w:dstrike w:val="false"/>
                <w:outline w:val="false"/>
                <w:shadow w:val="false"/>
                <w:color w:val="000000"/>
                <w:sz w:val="20"/>
                <w:szCs w:val="20"/>
                <w:u w:val="none"/>
              </w:rPr>
              <w:t>, N = 31</w:t>
            </w:r>
          </w:p>
        </w:tc>
        <w:tc>
          <w:tcPr>
            <w:tcW w:w="55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d</w:t>
            </w:r>
          </w:p>
        </w:tc>
        <w:tc>
          <w:tcPr>
            <w:tcW w:w="115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95% CI</w:t>
            </w:r>
          </w:p>
        </w:tc>
        <w:tc>
          <w:tcPr>
            <w:tcW w:w="90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p-value</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Sex</w:t>
            </w:r>
          </w:p>
        </w:tc>
        <w:tc>
          <w:tcPr>
            <w:tcW w:w="1496"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7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241"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0.228</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male</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28 (41%)</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18 (47%)</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10 (32%)</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female</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41 (59%)</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20 (53%)</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21 (68%)</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Age at last ACLR (years)</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27 (10)</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28 (11)</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25 (8)</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0.33</w:t>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-0.16, 0.81</w:t>
            </w:r>
          </w:p>
        </w:tc>
        <w:tc>
          <w:tcPr>
            <w:tcW w:w="9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0.179</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Unknown</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3</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3</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BMI (kg/m2)</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26.8 (4.4)</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27.0 (4.7)</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26.4 (4.0)</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0.13</w:t>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-0.40, 0.67</w:t>
            </w:r>
          </w:p>
        </w:tc>
        <w:tc>
          <w:tcPr>
            <w:tcW w:w="9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0.619</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Unknown</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15</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8</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7</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Graft diameter (mm)</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9.59 (0.74)</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9.61 (0.80)</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9.56 (0.67)</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0.05</w:t>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-0.42, 0.53</w:t>
            </w:r>
          </w:p>
        </w:tc>
        <w:tc>
          <w:tcPr>
            <w:tcW w:w="9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0.818</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Follow up (months)</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50 (25)</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58 (29)</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40 (14)</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0.78</w:t>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0.29, 1.3</w:t>
            </w:r>
          </w:p>
        </w:tc>
        <w:tc>
          <w:tcPr>
            <w:tcW w:w="9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0.001</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Medial meniscus</w:t>
            </w:r>
          </w:p>
        </w:tc>
        <w:tc>
          <w:tcPr>
            <w:tcW w:w="1496"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7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241"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0.684</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none</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33 (48%)</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17 (45%)</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16 (52%)</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partial resection</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13 (19%)</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6 (16%)</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7 (23%)</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repair</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19 (28%)</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12 (32%)</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7 (23%)</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MAT</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4 (5.8%)</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3 (7.9%)</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 (3.2%)</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Lateral meniscus</w:t>
            </w:r>
          </w:p>
        </w:tc>
        <w:tc>
          <w:tcPr>
            <w:tcW w:w="1496"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7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241"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0.569</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none</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40 (58%)</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24 (63%)</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16 (52%)</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partial resection</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12 (17%)</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6 (16%)</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6 (19%)</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repair</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16 (23%)</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7 (18%)</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9 (29%)</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MAT</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 (1.4%)</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 (2.6%)</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 (0%)</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Cartilage</w:t>
            </w:r>
          </w:p>
        </w:tc>
        <w:tc>
          <w:tcPr>
            <w:tcW w:w="1496"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7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241"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0.498</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none</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66 (96%)</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35 (92%)</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31 (100%)</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OATS auto</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 (0%)</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 (0%)</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 (0%)</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OATS allo</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 (0%)</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 (0%)</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 (0%)</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Micro-Fx</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2 (2.9%)</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2 (5.3%)</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 (0%)</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MACI</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 (0%)</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 (0%)</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 (0%)</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DeNovo</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 (1.4%)</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 (2.6%)</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 (0%)</w:t>
            </w:r>
          </w:p>
        </w:tc>
        <w:tc>
          <w:tcPr>
            <w:tcW w:w="55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5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908"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Medial tibial posterior slope</w:t>
            </w:r>
          </w:p>
        </w:tc>
        <w:tc>
          <w:tcPr>
            <w:tcW w:w="14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8.87 (2.65)</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8.91 (3.19)</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8.82 (1.84)</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0.03</w:t>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-0.44, 0.51</w:t>
            </w:r>
          </w:p>
        </w:tc>
        <w:tc>
          <w:tcPr>
            <w:tcW w:w="90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0.886</w:t>
            </w:r>
          </w:p>
        </w:tc>
      </w:tr>
    </w:tbl>
    <w:p>
      <w:pPr>
        <w:pStyle w:val="Corpodotexto"/>
        <w:rPr/>
      </w:pPr>
      <w:r>
        <w:rPr/>
        <w:t xml:space="preserve">All of the observed Cohen’s D standardized mean differences (Cohen, 1988) range from very small (d = 0.04) to medium (d = 0.78). Note that the minimum effect size detectable by this study would be of a medium effect size (d = 0.68, see </w:t>
      </w:r>
      <w:r>
        <w:rPr>
          <w:b/>
          <w:bCs/>
        </w:rPr>
        <w:t>SAP-2021-004-TV-v01</w:t>
      </w:r>
      <w:r>
        <w:rPr/>
        <w:t>) or larger.</w:t>
      </w:r>
      <w:bookmarkStart w:id="28" w:name="results"/>
      <w:bookmarkStart w:id="29" w:name="Xcac18a5cc95cab1fc786b5b25eaf3ceaf245ae8"/>
      <w:bookmarkEnd w:id="28"/>
      <w:bookmarkEnd w:id="29"/>
    </w:p>
    <w:p>
      <w:pPr>
        <w:pStyle w:val="Ttulo1"/>
        <w:rPr/>
      </w:pPr>
      <w:bookmarkStart w:id="30" w:name="__RefHeading___Toc34362_4125144612"/>
      <w:bookmarkEnd w:id="30"/>
      <w:r>
        <w:rPr/>
        <w:t>Exceptions and Observations</w:t>
      </w:r>
    </w:p>
    <w:p>
      <w:pPr>
        <w:pStyle w:val="FirstParagraph"/>
        <w:rPr/>
      </w:pPr>
      <w:r>
        <w:rPr/>
        <w:t>N/A.</w:t>
      </w:r>
      <w:bookmarkStart w:id="31" w:name="exceptions-and-observations"/>
      <w:bookmarkEnd w:id="31"/>
    </w:p>
    <w:p>
      <w:pPr>
        <w:pStyle w:val="Ttulo1"/>
        <w:rPr/>
      </w:pPr>
      <w:bookmarkStart w:id="32" w:name="__RefHeading___Toc34364_4125144612"/>
      <w:bookmarkEnd w:id="32"/>
      <w:r>
        <w:rPr/>
        <w:t>Conclusions</w:t>
      </w:r>
    </w:p>
    <w:p>
      <w:pPr>
        <w:pStyle w:val="FirstParagraph"/>
        <w:rPr/>
      </w:pPr>
      <w:r>
        <w:rPr/>
        <w:t>The epidemiological profile of the typical patient that required ACLR surgery was a 27 years female with an average BMI of 26.8 kg/m2.</w:t>
      </w:r>
    </w:p>
    <w:p>
      <w:pPr>
        <w:pStyle w:val="Corpodotexto"/>
        <w:rPr/>
      </w:pPr>
      <w:r>
        <w:rPr/>
        <w:t>Follow up time after ACLR was significantly lower for the LET group (p = 0.001, d = 0.78). No other characteristics evaluated in this study indicated significant differences when using the LET procedure compared to not using it. Patients had comparable distributions for demographic characteristics such as sex (p = 0.228), age (p = 0.179, d = 0.33) and BMI (p = 0.619, d = 0.13), as well as surgical characteristics such as graft diameter (p = 0.818, d = 0.05), medial meniscus (p = 0.684), lateral meniscus (p = 0.569), cartilage (p = 0.498) and medial tibial posterior slope (p = 0.886).</w:t>
      </w:r>
    </w:p>
    <w:p>
      <w:pPr>
        <w:pStyle w:val="Corpodotexto"/>
        <w:rPr/>
      </w:pPr>
      <w:r>
        <w:rPr/>
        <w:t>Therefore, LET and no LET groups are comparable at baseline.</w:t>
      </w:r>
      <w:bookmarkStart w:id="33" w:name="conclusions"/>
      <w:bookmarkEnd w:id="33"/>
    </w:p>
    <w:p>
      <w:pPr>
        <w:pStyle w:val="Ttulo1"/>
        <w:rPr/>
      </w:pPr>
      <w:bookmarkStart w:id="34" w:name="__RefHeading___Toc34366_4125144612"/>
      <w:bookmarkEnd w:id="34"/>
      <w:r>
        <w:rPr/>
        <w:t>References</w:t>
      </w:r>
    </w:p>
    <w:p>
      <w:pPr>
        <w:pStyle w:val="Compact"/>
        <w:numPr>
          <w:ilvl w:val="0"/>
          <w:numId w:val="12"/>
        </w:numPr>
        <w:rPr/>
      </w:pPr>
      <w:r>
        <w:rPr>
          <w:b/>
          <w:bCs/>
        </w:rPr>
        <w:t>SAP-2021-004-TV-v01</w:t>
      </w:r>
      <w:r>
        <w:rPr/>
        <w:t xml:space="preserve"> – Analytical Plan for Comparison of baseline characteristics of patients undergoing ACLR under the option of the LET surgical technique.</w:t>
      </w:r>
    </w:p>
    <w:p>
      <w:pPr>
        <w:pStyle w:val="Compact"/>
        <w:numPr>
          <w:ilvl w:val="0"/>
          <w:numId w:val="13"/>
        </w:numPr>
        <w:rPr/>
      </w:pPr>
      <w:r>
        <w:rPr/>
        <w:t>Cohen, J. (1988). Statistical power analysis for the behavioral sciences (2nd Ed.). New York: Routledge.</w:t>
      </w:r>
      <w:bookmarkStart w:id="35" w:name="references"/>
      <w:bookmarkEnd w:id="35"/>
    </w:p>
    <w:p>
      <w:pPr>
        <w:pStyle w:val="Ttulo1"/>
        <w:rPr/>
      </w:pPr>
      <w:bookmarkStart w:id="36" w:name="__RefHeading___Toc34368_4125144612"/>
      <w:bookmarkEnd w:id="36"/>
      <w:r>
        <w:rPr/>
        <w:t>Appendix</w:t>
      </w:r>
    </w:p>
    <w:p>
      <w:pPr>
        <w:pStyle w:val="Ttulo2"/>
        <w:rPr/>
      </w:pPr>
      <w:bookmarkStart w:id="37" w:name="__RefHeading___Toc34370_4125144612"/>
      <w:bookmarkEnd w:id="37"/>
      <w:r>
        <w:rPr/>
        <w:t>Exploratory data analysis</w:t>
      </w:r>
    </w:p>
    <w:p>
      <w:pPr>
        <w:pStyle w:val="CaptionedFigure"/>
        <w:rPr/>
      </w:pPr>
      <w:r>
        <w:rPr/>
        <w:drawing>
          <wp:inline distT="0" distB="0" distL="114935" distR="114935">
            <wp:extent cx="2886710" cy="2886710"/>
            <wp:effectExtent l="0" t="0" r="0" b="0"/>
            <wp:docPr id="3" name="Picture" descr="Figure A1 Distribution of age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A1 Distribution of age in the study population, according to the study group."/>
                    <pic:cNvPicPr>
                      <a:picLocks noChangeAspect="1" noChangeArrowheads="1"/>
                    </pic:cNvPicPr>
                  </pic:nvPicPr>
                  <pic:blipFill>
                    <a:blip r:embed="rId2"/>
                    <a:stretch>
                      <a:fillRect/>
                    </a:stretch>
                  </pic:blipFill>
                  <pic:spPr bwMode="auto">
                    <a:xfrm>
                      <a:off x="0" y="0"/>
                      <a:ext cx="2886710" cy="2886710"/>
                    </a:xfrm>
                    <a:prstGeom prst="rect">
                      <a:avLst/>
                    </a:prstGeom>
                  </pic:spPr>
                </pic:pic>
              </a:graphicData>
            </a:graphic>
          </wp:inline>
        </w:drawing>
      </w:r>
    </w:p>
    <w:p>
      <w:pPr>
        <w:pStyle w:val="ImageCaption"/>
        <w:rPr/>
      </w:pPr>
      <w:r>
        <w:rPr>
          <w:b/>
          <w:bCs/>
        </w:rPr>
        <w:t>Figure A1</w:t>
      </w:r>
      <w:r>
        <w:rPr/>
        <w:t xml:space="preserve"> Distribution of age in the study population, according to the study group.</w:t>
      </w:r>
    </w:p>
    <w:p>
      <w:pPr>
        <w:pStyle w:val="CaptionedFigure"/>
        <w:rPr/>
      </w:pPr>
      <w:r>
        <w:rPr/>
        <w:drawing>
          <wp:inline distT="0" distB="0" distL="114935" distR="114935">
            <wp:extent cx="2886710" cy="2886710"/>
            <wp:effectExtent l="0" t="0" r="0" b="0"/>
            <wp:docPr id="4" name="Figura1" descr="Figure A2 Distribution of sex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Figure A2 Distribution of sex in the study population, according to the study group."/>
                    <pic:cNvPicPr>
                      <a:picLocks noChangeAspect="1" noChangeArrowheads="1"/>
                    </pic:cNvPicPr>
                  </pic:nvPicPr>
                  <pic:blipFill>
                    <a:blip r:embed="rId3"/>
                    <a:stretch>
                      <a:fillRect/>
                    </a:stretch>
                  </pic:blipFill>
                  <pic:spPr bwMode="auto">
                    <a:xfrm>
                      <a:off x="0" y="0"/>
                      <a:ext cx="2886710" cy="2886710"/>
                    </a:xfrm>
                    <a:prstGeom prst="rect">
                      <a:avLst/>
                    </a:prstGeom>
                  </pic:spPr>
                </pic:pic>
              </a:graphicData>
            </a:graphic>
          </wp:inline>
        </w:drawing>
      </w:r>
    </w:p>
    <w:p>
      <w:pPr>
        <w:pStyle w:val="ImageCaption"/>
        <w:rPr/>
      </w:pPr>
      <w:r>
        <w:rPr>
          <w:b/>
          <w:bCs/>
        </w:rPr>
        <w:t>Figure A2</w:t>
      </w:r>
      <w:r>
        <w:rPr/>
        <w:t xml:space="preserve"> Distribution of sex in the study population, according to the study group.</w:t>
      </w:r>
    </w:p>
    <w:p>
      <w:pPr>
        <w:pStyle w:val="CaptionedFigure"/>
        <w:rPr/>
      </w:pPr>
      <w:r>
        <w:rPr/>
        <w:drawing>
          <wp:inline distT="0" distB="0" distL="114935" distR="114935">
            <wp:extent cx="2886710" cy="2886710"/>
            <wp:effectExtent l="0" t="0" r="0" b="0"/>
            <wp:docPr id="5" name="Figura2" descr="Figure A3 Distribution of BMI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Figure A3 Distribution of BMI in the study population, according to the study group."/>
                    <pic:cNvPicPr>
                      <a:picLocks noChangeAspect="1" noChangeArrowheads="1"/>
                    </pic:cNvPicPr>
                  </pic:nvPicPr>
                  <pic:blipFill>
                    <a:blip r:embed="rId4"/>
                    <a:stretch>
                      <a:fillRect/>
                    </a:stretch>
                  </pic:blipFill>
                  <pic:spPr bwMode="auto">
                    <a:xfrm>
                      <a:off x="0" y="0"/>
                      <a:ext cx="2886710" cy="2886710"/>
                    </a:xfrm>
                    <a:prstGeom prst="rect">
                      <a:avLst/>
                    </a:prstGeom>
                  </pic:spPr>
                </pic:pic>
              </a:graphicData>
            </a:graphic>
          </wp:inline>
        </w:drawing>
      </w:r>
    </w:p>
    <w:p>
      <w:pPr>
        <w:pStyle w:val="ImageCaption"/>
        <w:rPr/>
      </w:pPr>
      <w:r>
        <w:rPr>
          <w:b/>
          <w:bCs/>
        </w:rPr>
        <w:t>Figure A3</w:t>
      </w:r>
      <w:r>
        <w:rPr/>
        <w:t xml:space="preserve"> Distribution of BMI in the study population, according to the study group.</w:t>
      </w:r>
    </w:p>
    <w:p>
      <w:pPr>
        <w:pStyle w:val="CaptionedFigure"/>
        <w:rPr/>
      </w:pPr>
      <w:r>
        <w:rPr/>
        <w:drawing>
          <wp:inline distT="0" distB="0" distL="114935" distR="114935">
            <wp:extent cx="2886710" cy="2886710"/>
            <wp:effectExtent l="0" t="0" r="0" b="0"/>
            <wp:docPr id="6" name="Figura3" descr="Figure A4 Distribution of follow up time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Figure A4 Distribution of follow up time in the study population, according to the study group."/>
                    <pic:cNvPicPr>
                      <a:picLocks noChangeAspect="1" noChangeArrowheads="1"/>
                    </pic:cNvPicPr>
                  </pic:nvPicPr>
                  <pic:blipFill>
                    <a:blip r:embed="rId5"/>
                    <a:stretch>
                      <a:fillRect/>
                    </a:stretch>
                  </pic:blipFill>
                  <pic:spPr bwMode="auto">
                    <a:xfrm>
                      <a:off x="0" y="0"/>
                      <a:ext cx="2886710" cy="2886710"/>
                    </a:xfrm>
                    <a:prstGeom prst="rect">
                      <a:avLst/>
                    </a:prstGeom>
                  </pic:spPr>
                </pic:pic>
              </a:graphicData>
            </a:graphic>
          </wp:inline>
        </w:drawing>
      </w:r>
    </w:p>
    <w:p>
      <w:pPr>
        <w:pStyle w:val="ImageCaption"/>
        <w:rPr/>
      </w:pPr>
      <w:r>
        <w:rPr>
          <w:b/>
          <w:bCs/>
        </w:rPr>
        <w:t>Figure A4</w:t>
      </w:r>
      <w:r>
        <w:rPr/>
        <w:t xml:space="preserve"> Distribution of follow up time in the study population, according to the study group.</w:t>
      </w:r>
    </w:p>
    <w:p>
      <w:pPr>
        <w:pStyle w:val="CaptionedFigure"/>
        <w:rPr/>
      </w:pPr>
      <w:r>
        <w:rPr/>
        <w:drawing>
          <wp:inline distT="0" distB="0" distL="114935" distR="114935">
            <wp:extent cx="2886710" cy="2886710"/>
            <wp:effectExtent l="0" t="0" r="0" b="0"/>
            <wp:docPr id="7" name="Figura4" descr="Figure A5 Distribution of MTPS time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Figure A5 Distribution of MTPS time in the study population, according to the study group."/>
                    <pic:cNvPicPr>
                      <a:picLocks noChangeAspect="1" noChangeArrowheads="1"/>
                    </pic:cNvPicPr>
                  </pic:nvPicPr>
                  <pic:blipFill>
                    <a:blip r:embed="rId6"/>
                    <a:stretch>
                      <a:fillRect/>
                    </a:stretch>
                  </pic:blipFill>
                  <pic:spPr bwMode="auto">
                    <a:xfrm>
                      <a:off x="0" y="0"/>
                      <a:ext cx="2886710" cy="2886710"/>
                    </a:xfrm>
                    <a:prstGeom prst="rect">
                      <a:avLst/>
                    </a:prstGeom>
                  </pic:spPr>
                </pic:pic>
              </a:graphicData>
            </a:graphic>
          </wp:inline>
        </w:drawing>
      </w:r>
    </w:p>
    <w:p>
      <w:pPr>
        <w:pStyle w:val="ImageCaption"/>
        <w:rPr/>
      </w:pPr>
      <w:r>
        <w:rPr>
          <w:b/>
          <w:bCs/>
        </w:rPr>
        <w:t>Figure A5</w:t>
      </w:r>
      <w:r>
        <w:rPr/>
        <w:t xml:space="preserve"> Distribution of MTPS time in the study population, according to the study group.</w:t>
      </w:r>
      <w:bookmarkStart w:id="38" w:name="exploratory-data-analysis"/>
      <w:bookmarkEnd w:id="38"/>
    </w:p>
    <w:p>
      <w:pPr>
        <w:pStyle w:val="Ttulo2"/>
        <w:rPr/>
      </w:pPr>
      <w:bookmarkStart w:id="39" w:name="__RefHeading___Toc34372_4125144612"/>
      <w:bookmarkEnd w:id="39"/>
      <w:r>
        <w:rPr/>
        <w:t>Availability</w:t>
      </w:r>
    </w:p>
    <w:p>
      <w:pPr>
        <w:pStyle w:val="FirstParagraph"/>
        <w:rPr/>
      </w:pPr>
      <w:r>
        <w:rPr/>
        <w:t>This document can be downloaded in the following address:</w:t>
      </w:r>
    </w:p>
    <w:p>
      <w:pPr>
        <w:pStyle w:val="Corpodotexto"/>
        <w:rPr/>
      </w:pPr>
      <w:r>
        <w:rPr>
          <w:rStyle w:val="VerbatimChar"/>
        </w:rPr>
        <w:t>https://github.com/philsf-biostat/SAR-2021-004-TV/</w:t>
      </w:r>
      <w:bookmarkStart w:id="40" w:name="availability"/>
      <w:bookmarkEnd w:id="40"/>
    </w:p>
    <w:p>
      <w:pPr>
        <w:pStyle w:val="Ttulo2"/>
        <w:rPr/>
      </w:pPr>
      <w:bookmarkStart w:id="41" w:name="__RefHeading___Toc34374_4125144612"/>
      <w:bookmarkEnd w:id="41"/>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5000" w:type="pct"/>
        <w:jc w:val="center"/>
        <w:tblInd w:w="0" w:type="dxa"/>
        <w:tblLayout w:type="fixed"/>
        <w:tblCellMar>
          <w:top w:w="55" w:type="dxa"/>
          <w:left w:w="55" w:type="dxa"/>
          <w:bottom w:w="55" w:type="dxa"/>
          <w:right w:w="55" w:type="dxa"/>
        </w:tblCellMar>
        <w:tblLook w:val="0020" w:noHBand="0" w:noVBand="0" w:firstColumn="0" w:lastRow="0" w:lastColumn="0" w:firstRow="1"/>
      </w:tblPr>
      <w:tblGrid>
        <w:gridCol w:w="433"/>
        <w:gridCol w:w="434"/>
        <w:gridCol w:w="434"/>
        <w:gridCol w:w="433"/>
        <w:gridCol w:w="434"/>
        <w:gridCol w:w="607"/>
        <w:gridCol w:w="1391"/>
        <w:gridCol w:w="1476"/>
        <w:gridCol w:w="1564"/>
        <w:gridCol w:w="955"/>
        <w:gridCol w:w="955"/>
        <w:gridCol w:w="521"/>
      </w:tblGrid>
      <w:tr>
        <w:trPr/>
        <w:tc>
          <w:tcPr>
            <w:tcW w:w="4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43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age</w:t>
            </w:r>
          </w:p>
        </w:tc>
        <w:tc>
          <w:tcPr>
            <w:tcW w:w="43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sex</w:t>
            </w:r>
          </w:p>
        </w:tc>
        <w:tc>
          <w:tcPr>
            <w:tcW w:w="4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bmi</w:t>
            </w:r>
          </w:p>
        </w:tc>
        <w:tc>
          <w:tcPr>
            <w:tcW w:w="43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let</w:t>
            </w:r>
          </w:p>
        </w:tc>
        <w:tc>
          <w:tcPr>
            <w:tcW w:w="6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graft</w:t>
            </w:r>
          </w:p>
        </w:tc>
        <w:tc>
          <w:tcPr>
            <w:tcW w:w="13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graft_diameter</w:t>
            </w:r>
          </w:p>
        </w:tc>
        <w:tc>
          <w:tcPr>
            <w:tcW w:w="14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medial_meniscus</w:t>
            </w:r>
          </w:p>
        </w:tc>
        <w:tc>
          <w:tcPr>
            <w:tcW w:w="156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lateral_meniscus</w:t>
            </w:r>
          </w:p>
        </w:tc>
        <w:tc>
          <w:tcPr>
            <w:tcW w:w="95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cartilage</w:t>
            </w:r>
          </w:p>
        </w:tc>
        <w:tc>
          <w:tcPr>
            <w:tcW w:w="95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fu_months</w:t>
            </w:r>
          </w:p>
        </w:tc>
        <w:tc>
          <w:tcPr>
            <w:tcW w:w="52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mtps</w:t>
            </w:r>
          </w:p>
        </w:tc>
      </w:tr>
      <w:tr>
        <w:trPr/>
        <w:tc>
          <w:tcPr>
            <w:tcW w:w="4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43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76"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6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2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43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76"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6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2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43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76"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6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2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43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76"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6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2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69</w:t>
            </w:r>
          </w:p>
        </w:tc>
        <w:tc>
          <w:tcPr>
            <w:tcW w:w="43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3"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76"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6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2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sectPr>
      <w:headerReference w:type="default" r:id="rId7"/>
      <w:footerReference w:type="default" r:id="rId8"/>
      <w:type w:val="nextPage"/>
      <w:pgSz w:w="11906" w:h="16838"/>
      <w:pgMar w:left="1134" w:right="1134" w:header="567" w:top="1758" w:footer="567" w:bottom="175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4735" cy="33655"/>
              <wp:effectExtent l="0" t="0" r="0" b="0"/>
              <wp:docPr id="9" name="Forma5"/>
              <a:graphic xmlns:a="http://schemas.openxmlformats.org/drawingml/2006/main">
                <a:graphicData uri="http://schemas.microsoft.com/office/word/2010/wordprocessingShape">
                  <wps:wsp>
                    <wps:cNvSpPr/>
                    <wps:spPr>
                      <a:xfrm>
                        <a:off x="0" y="0"/>
                        <a:ext cx="6134040" cy="331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style="position:absolute;margin-left:0pt;margin-top:-2.65pt;width:482.95pt;height:2.5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3973"/>
      <w:gridCol w:w="197"/>
      <w:gridCol w:w="2198"/>
      <w:gridCol w:w="198"/>
      <w:gridCol w:w="969"/>
      <w:gridCol w:w="200"/>
      <w:gridCol w:w="646"/>
      <w:gridCol w:w="183"/>
      <w:gridCol w:w="1056"/>
    </w:tblGrid>
    <w:tr>
      <w:trPr/>
      <w:tc>
        <w:tcPr>
          <w:tcW w:w="3973" w:type="dxa"/>
          <w:tcBorders/>
          <w:vAlign w:val="center"/>
        </w:tcPr>
        <w:p>
          <w:pPr>
            <w:pStyle w:val="CabealhoeRodap"/>
            <w:widowControl w:val="false"/>
            <w:spacing w:before="57" w:after="85"/>
            <w:ind w:left="0" w:right="0" w:hanging="0"/>
            <w:jc w:val="center"/>
            <w:rPr>
              <w:lang w:val="en-US" w:eastAsia="en-US" w:bidi="ar-SA"/>
            </w:rPr>
          </w:pPr>
          <w:r>
            <w:rPr>
              <w:b/>
              <w:bCs/>
              <w:sz w:val="20"/>
              <w:lang w:val="en-US" w:eastAsia="en-US" w:bidi="ar-SA"/>
            </w:rPr>
            <w:t>Felipe Figueiredo</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18"/>
              <w:szCs w:val="18"/>
              <w:lang w:val="en-US" w:eastAsia="en-US" w:bidi="ar-SA"/>
            </w:rPr>
          </w:pPr>
          <w:r>
            <w:rPr>
              <w:rFonts w:eastAsia="Cambria" w:cs="" w:cstheme="minorBidi" w:eastAsiaTheme="minorHAnsi"/>
              <w:color w:val="auto"/>
              <w:kern w:val="0"/>
              <w:sz w:val="18"/>
              <w:szCs w:val="18"/>
              <w:lang w:val="en-US" w:eastAsia="en-US" w:bidi="ar-SA"/>
            </w:rPr>
            <w:t>Biostatistics and Clinical Epidemiology</w:t>
          </w:r>
        </w:p>
        <w:p>
          <w:pPr>
            <w:pStyle w:val="Textoprformatado"/>
            <w:widowControl w:val="false"/>
            <w:jc w:val="center"/>
            <w:rPr/>
          </w:pPr>
          <w:hyperlink r:id="rId1">
            <w:r>
              <w:rPr>
                <w:rStyle w:val="LinkdaInternet"/>
                <w:color w:val="345A8A"/>
                <w:lang w:val="en-US" w:eastAsia="en-US" w:bidi="ar-SA"/>
              </w:rPr>
              <w:t>https://linktr.ee/ff.epi.biostat</w:t>
            </w:r>
          </w:hyperlink>
        </w:p>
      </w:tc>
      <w:tc>
        <w:tcPr>
          <w:tcW w:w="197" w:type="dxa"/>
          <w:tcBorders/>
          <w:vAlign w:val="center"/>
        </w:tcPr>
        <w:p>
          <w:pPr>
            <w:pStyle w:val="CabealhoeRodap"/>
            <w:widowControl w:val="false"/>
            <w:jc w:val="center"/>
            <w:rPr>
              <w:lang w:val="en-US" w:eastAsia="en-US" w:bidi="ar-SA"/>
            </w:rPr>
          </w:pPr>
          <w:r>
            <w:rPr>
              <w:lang w:val="en-US" w:eastAsia="en-US" w:bidi="ar-SA"/>
            </w:rPr>
          </w:r>
        </w:p>
      </w:tc>
      <w:tc>
        <w:tcPr>
          <w:tcW w:w="2198" w:type="dxa"/>
          <w:tcBorders/>
          <w:vAlign w:val="center"/>
        </w:tcPr>
        <w:p>
          <w:pPr>
            <w:pStyle w:val="Textoprformatado"/>
            <w:widowControl w:val="false"/>
            <w:jc w:val="center"/>
            <w:rPr>
              <w:b/>
              <w:b/>
              <w:bCs/>
            </w:rPr>
          </w:pPr>
          <w:r>
            <w:rPr>
              <w:b/>
              <w:bCs/>
              <w:lang w:val="en-US" w:eastAsia="en-US" w:bidi="ar-SA"/>
            </w:rPr>
            <w:t>SAR-2021-004-TV</w:t>
          </w:r>
        </w:p>
      </w:tc>
      <w:tc>
        <w:tcPr>
          <w:tcW w:w="198"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6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46" w:type="dxa"/>
          <w:tcBorders/>
          <w:vAlign w:val="center"/>
        </w:tcPr>
        <w:p>
          <w:pPr>
            <w:pStyle w:val="CabealhoeRodap"/>
            <w:widowControl w:val="false"/>
            <w:jc w:val="center"/>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6" w:type="dxa"/>
          <w:tcBorders/>
          <w:vAlign w:val="center"/>
        </w:tcPr>
        <w:p>
          <w:pPr>
            <w:pStyle w:val="CabealhoeRodap"/>
            <w:widowControl w:val="false"/>
            <w:jc w:val="center"/>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10</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10</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b/>
              <w:bCs/>
              <w:lang w:val="en-US" w:eastAsia="en-US" w:bidi="ar-SA"/>
            </w:rPr>
            <w:t xml:space="preserve">FF Consulting </w:t>
          </w:r>
          <w:r>
            <w:rPr>
              <w:rFonts w:eastAsia="Cambria" w:cs="" w:cstheme="minorBidi" w:eastAsiaTheme="minorHAnsi"/>
              <w:b/>
              <w:bCs/>
              <w:color w:val="auto"/>
              <w:kern w:val="0"/>
              <w:sz w:val="20"/>
              <w:szCs w:val="24"/>
              <w:lang w:val="en-US" w:eastAsia="en-US" w:bidi="ar-SA"/>
            </w:rPr>
            <w:t>in</w:t>
          </w:r>
          <w:r>
            <w:rPr>
              <w:b/>
              <w:bCs/>
              <w:lang w:val="en-US" w:eastAsia="en-US" w:bidi="ar-SA"/>
            </w:rPr>
            <w:t xml:space="preserve"> Biostatistics </w:t>
          </w:r>
          <w:r>
            <w:rPr>
              <w:rFonts w:eastAsia="Cambria" w:cs="" w:cstheme="minorBidi" w:eastAsiaTheme="minorHAnsi"/>
              <w:b/>
              <w:bCs/>
              <w:color w:val="auto"/>
              <w:kern w:val="0"/>
              <w:sz w:val="20"/>
              <w:szCs w:val="24"/>
              <w:lang w:val="en-US" w:eastAsia="en-US" w:bidi="ar-SA"/>
            </w:rPr>
            <w:t>and</w:t>
          </w:r>
          <w:r>
            <w:rPr>
              <w:b/>
              <w:bCs/>
              <w:lang w:val="en-US" w:eastAsia="en-US" w:bidi="ar-SA"/>
            </w:rPr>
            <w:t xml:space="preserve">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4735" cy="33655"/>
              <wp:effectExtent l="0" t="0" r="0" b="0"/>
              <wp:docPr id="8" name="Forma4"/>
              <a:graphic xmlns:a="http://schemas.openxmlformats.org/drawingml/2006/main">
                <a:graphicData uri="http://schemas.microsoft.com/office/word/2010/wordprocessingShape">
                  <wps:wsp>
                    <wps:cNvSpPr/>
                    <wps:spPr>
                      <a:xfrm>
                        <a:off x="0" y="0"/>
                        <a:ext cx="6134040" cy="331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style="position:absolute;margin-left:0pt;margin-top:-2.65pt;width:482.95pt;height:2.5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LibreOffice/7.1.5.2$Linux_X86_64 LibreOffice_project/10$Build-2</Application>
  <AppVersion>15.0000</AppVersion>
  <Pages>10</Pages>
  <Words>1594</Words>
  <Characters>8183</Characters>
  <CharactersWithSpaces>9569</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2021-08-28T03:30:38Z</dcterms:created>
  <dc:creator>From: Felipe Figueiredo To: Thiago Vivacqua</dc:creator>
  <dc:description/>
  <dc:language>pt-BR</dc:language>
  <cp:lastModifiedBy>Felipe Figueiredo</cp:lastModifiedBy>
  <dcterms:modified xsi:type="dcterms:W3CDTF">2021-08-28T00:36:06Z</dcterms:modified>
  <cp:revision>9</cp:revision>
  <dc:subject/>
  <dc:title>Comparison of baseline characteristics of patients undergoing ACLR under the option of the LET surgical technique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2021-08-25</vt:lpwstr>
  </property>
  <property fmtid="{D5CDD505-2E9C-101B-9397-08002B2CF9AE}" pid="3" name="output">
    <vt:lpwstr/>
  </property>
  <property fmtid="{D5CDD505-2E9C-101B-9397-08002B2CF9AE}" pid="4" name="subtitle">
    <vt:lpwstr>DOCUMENT: SAR-2021-004-TV-v01</vt:lpwstr>
  </property>
</Properties>
</file>