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Incidence rates of scorpion accidents in Urban Planning Areas of Americana/SP in 1998–2018</w:t>
      </w:r>
    </w:p>
    <w:p>
      <w:pPr>
        <w:pStyle w:val="Subtitle"/>
        <w:rPr/>
      </w:pPr>
      <w:r>
        <w:rPr/>
        <w:t>DOCUMENT: SAR-2021-007-JB-v01</w:t>
      </w:r>
    </w:p>
    <w:p>
      <w:pPr>
        <w:pStyle w:val="Author"/>
        <w:rPr/>
      </w:pPr>
      <w:r>
        <w:rPr>
          <w:b/>
          <w:bCs/>
        </w:rPr>
        <w:t>From:</w:t>
      </w:r>
      <w:r>
        <w:rPr/>
        <w:t xml:space="preserve"> Felipe Figueiredo </w:t>
      </w:r>
      <w:r>
        <w:rPr>
          <w:b/>
          <w:bCs/>
        </w:rPr>
        <w:t>To:</w:t>
      </w:r>
      <w:r>
        <w:rPr/>
        <w:t xml:space="preserve"> José Brites</w:t>
      </w:r>
    </w:p>
    <w:p>
      <w:pPr>
        <w:pStyle w:val="Date"/>
        <w:rPr/>
      </w:pPr>
      <w:r>
        <w:rPr/>
        <w:t>2022-04-08</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11300_4253236247">
            <w:r>
              <w:rPr>
                <w:webHidden/>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11302_4253236247">
            <w:r>
              <w:rPr>
                <w:webHidden/>
                <w:rStyle w:val="IndexLink"/>
              </w:rPr>
              <w:t xml:space="preserve"> </w:t>
            </w:r>
            <w:r>
              <w:rPr>
                <w:rStyle w:val="IndexLink"/>
              </w:rPr>
              <w:t>2  Context</w:t>
              <w:tab/>
              <w:t>2</w:t>
            </w:r>
          </w:hyperlink>
        </w:p>
        <w:p>
          <w:pPr>
            <w:pStyle w:val="Contents2"/>
            <w:tabs>
              <w:tab w:val="clear" w:pos="9077"/>
              <w:tab w:val="right" w:pos="9638" w:leader="dot"/>
            </w:tabs>
            <w:rPr/>
          </w:pPr>
          <w:hyperlink w:anchor="__RefHeading___Toc11304_4253236247">
            <w:r>
              <w:rPr>
                <w:webHidden/>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11306_4253236247">
            <w:r>
              <w:rPr>
                <w:webHidden/>
                <w:rStyle w:val="IndexLink"/>
              </w:rPr>
              <w:t xml:space="preserve"> </w:t>
            </w:r>
            <w:r>
              <w:rPr>
                <w:rStyle w:val="IndexLink"/>
              </w:rPr>
              <w:t>2.2  Data reception and cleaning</w:t>
              <w:tab/>
              <w:t>2</w:t>
            </w:r>
          </w:hyperlink>
        </w:p>
        <w:p>
          <w:pPr>
            <w:pStyle w:val="Contents1"/>
            <w:tabs>
              <w:tab w:val="clear" w:pos="9360"/>
              <w:tab w:val="right" w:pos="9638" w:leader="dot"/>
            </w:tabs>
            <w:rPr/>
          </w:pPr>
          <w:hyperlink w:anchor="__RefHeading___Toc11308_4253236247">
            <w:r>
              <w:rPr>
                <w:webHidden/>
                <w:rStyle w:val="IndexLink"/>
              </w:rPr>
              <w:t xml:space="preserve"> </w:t>
            </w:r>
            <w:r>
              <w:rPr>
                <w:rStyle w:val="IndexLink"/>
              </w:rPr>
              <w:t>3  Methods</w:t>
              <w:tab/>
              <w:t>2</w:t>
            </w:r>
          </w:hyperlink>
        </w:p>
        <w:p>
          <w:pPr>
            <w:pStyle w:val="Contents2"/>
            <w:tabs>
              <w:tab w:val="clear" w:pos="9077"/>
              <w:tab w:val="right" w:pos="9638" w:leader="dot"/>
            </w:tabs>
            <w:rPr/>
          </w:pPr>
          <w:hyperlink w:anchor="__RefHeading___Toc11310_4253236247">
            <w:r>
              <w:rPr>
                <w:webHidden/>
                <w:rStyle w:val="IndexLink"/>
              </w:rPr>
              <w:t xml:space="preserve"> </w:t>
            </w:r>
            <w:r>
              <w:rPr>
                <w:rStyle w:val="IndexLink"/>
              </w:rPr>
              <w:t>3.1  Variables</w:t>
              <w:tab/>
              <w:t>2</w:t>
            </w:r>
          </w:hyperlink>
        </w:p>
        <w:p>
          <w:pPr>
            <w:pStyle w:val="Contents3"/>
            <w:tabs>
              <w:tab w:val="clear" w:pos="8794"/>
              <w:tab w:val="right" w:pos="9638" w:leader="dot"/>
            </w:tabs>
            <w:rPr/>
          </w:pPr>
          <w:hyperlink w:anchor="__RefHeading___Toc11312_4253236247">
            <w:r>
              <w:rPr>
                <w:webHidden/>
                <w:rStyle w:val="IndexLink"/>
              </w:rPr>
              <w:t xml:space="preserve"> </w:t>
            </w:r>
            <w:r>
              <w:rPr>
                <w:rStyle w:val="IndexLink"/>
              </w:rPr>
              <w:t>3.1.1  Primary and secondary outcomes</w:t>
              <w:tab/>
              <w:t>2</w:t>
            </w:r>
          </w:hyperlink>
        </w:p>
        <w:p>
          <w:pPr>
            <w:pStyle w:val="Contents3"/>
            <w:tabs>
              <w:tab w:val="clear" w:pos="8794"/>
              <w:tab w:val="right" w:pos="9638" w:leader="dot"/>
            </w:tabs>
            <w:rPr/>
          </w:pPr>
          <w:hyperlink w:anchor="__RefHeading___Toc11314_4253236247">
            <w:r>
              <w:rPr>
                <w:webHidden/>
                <w:rStyle w:val="IndexLink"/>
              </w:rPr>
              <w:t xml:space="preserve"> </w:t>
            </w:r>
            <w:r>
              <w:rPr>
                <w:rStyle w:val="IndexLink"/>
              </w:rPr>
              <w:t>3.1.2  Covariates</w:t>
              <w:tab/>
              <w:t>2</w:t>
            </w:r>
          </w:hyperlink>
        </w:p>
        <w:p>
          <w:pPr>
            <w:pStyle w:val="Contents2"/>
            <w:tabs>
              <w:tab w:val="clear" w:pos="9077"/>
              <w:tab w:val="right" w:pos="9638" w:leader="dot"/>
            </w:tabs>
            <w:rPr/>
          </w:pPr>
          <w:hyperlink w:anchor="__RefHeading___Toc11316_4253236247">
            <w:r>
              <w:rPr>
                <w:webHidden/>
                <w:rStyle w:val="IndexLink"/>
              </w:rPr>
              <w:t xml:space="preserve"> </w:t>
            </w:r>
            <w:r>
              <w:rPr>
                <w:rStyle w:val="IndexLink"/>
              </w:rPr>
              <w:t>3.2  Statistical analyses</w:t>
              <w:tab/>
              <w:t>2</w:t>
            </w:r>
          </w:hyperlink>
        </w:p>
        <w:p>
          <w:pPr>
            <w:pStyle w:val="Contents1"/>
            <w:tabs>
              <w:tab w:val="clear" w:pos="9360"/>
              <w:tab w:val="right" w:pos="9638" w:leader="dot"/>
            </w:tabs>
            <w:rPr/>
          </w:pPr>
          <w:hyperlink w:anchor="__RefHeading___Toc11318_4253236247">
            <w:r>
              <w:rPr>
                <w:webHidden/>
                <w:rStyle w:val="IndexLink"/>
              </w:rPr>
              <w:t xml:space="preserve"> </w:t>
            </w:r>
            <w:r>
              <w:rPr>
                <w:rStyle w:val="IndexLink"/>
              </w:rPr>
              <w:t>4  Results</w:t>
              <w:tab/>
              <w:t>3</w:t>
            </w:r>
          </w:hyperlink>
        </w:p>
        <w:p>
          <w:pPr>
            <w:pStyle w:val="Contents2"/>
            <w:tabs>
              <w:tab w:val="clear" w:pos="9077"/>
              <w:tab w:val="right" w:pos="9638" w:leader="dot"/>
            </w:tabs>
            <w:rPr/>
          </w:pPr>
          <w:hyperlink w:anchor="__RefHeading___Toc11320_4253236247">
            <w:r>
              <w:rPr>
                <w:webHidden/>
                <w:rStyle w:val="IndexLink"/>
              </w:rPr>
              <w:t xml:space="preserve"> </w:t>
            </w:r>
            <w:r>
              <w:rPr>
                <w:rStyle w:val="IndexLink"/>
              </w:rPr>
              <w:t>4.1  Study population and follow up</w:t>
              <w:tab/>
              <w:t>3</w:t>
            </w:r>
          </w:hyperlink>
        </w:p>
        <w:p>
          <w:pPr>
            <w:pStyle w:val="Contents3"/>
            <w:tabs>
              <w:tab w:val="clear" w:pos="8794"/>
              <w:tab w:val="right" w:pos="9638" w:leader="dot"/>
            </w:tabs>
            <w:rPr/>
          </w:pPr>
          <w:hyperlink w:anchor="__RefHeading___Toc11322_4253236247">
            <w:r>
              <w:rPr>
                <w:webHidden/>
                <w:rStyle w:val="IndexLink"/>
              </w:rPr>
              <w:t xml:space="preserve"> </w:t>
            </w:r>
            <w:r>
              <w:rPr>
                <w:rStyle w:val="IndexLink"/>
              </w:rPr>
              <w:t>4.1.1  Urban Planning Areas</w:t>
              <w:tab/>
              <w:t>3</w:t>
            </w:r>
          </w:hyperlink>
        </w:p>
        <w:p>
          <w:pPr>
            <w:pStyle w:val="Contents3"/>
            <w:tabs>
              <w:tab w:val="clear" w:pos="8794"/>
              <w:tab w:val="right" w:pos="9638" w:leader="dot"/>
            </w:tabs>
            <w:rPr/>
          </w:pPr>
          <w:hyperlink w:anchor="__RefHeading___Toc11324_4253236247">
            <w:r>
              <w:rPr>
                <w:webHidden/>
                <w:rStyle w:val="IndexLink"/>
              </w:rPr>
              <w:t xml:space="preserve"> </w:t>
            </w:r>
            <w:r>
              <w:rPr>
                <w:rStyle w:val="IndexLink"/>
              </w:rPr>
              <w:t>4.1.2  Population</w:t>
              <w:tab/>
              <w:t>5</w:t>
            </w:r>
          </w:hyperlink>
        </w:p>
        <w:p>
          <w:pPr>
            <w:pStyle w:val="Contents2"/>
            <w:tabs>
              <w:tab w:val="clear" w:pos="9077"/>
              <w:tab w:val="right" w:pos="9638" w:leader="dot"/>
            </w:tabs>
            <w:rPr/>
          </w:pPr>
          <w:hyperlink w:anchor="__RefHeading___Toc11326_4253236247">
            <w:r>
              <w:rPr>
                <w:webHidden/>
                <w:rStyle w:val="IndexLink"/>
              </w:rPr>
              <w:t xml:space="preserve"> </w:t>
            </w:r>
            <w:r>
              <w:rPr>
                <w:rStyle w:val="IndexLink"/>
              </w:rPr>
              <w:t>4.2  Incidence of scorpion accidents</w:t>
              <w:tab/>
              <w:t>7</w:t>
            </w:r>
          </w:hyperlink>
        </w:p>
        <w:p>
          <w:pPr>
            <w:pStyle w:val="Contents1"/>
            <w:tabs>
              <w:tab w:val="clear" w:pos="9360"/>
              <w:tab w:val="right" w:pos="9638" w:leader="dot"/>
            </w:tabs>
            <w:rPr/>
          </w:pPr>
          <w:hyperlink w:anchor="__RefHeading___Toc11328_4253236247">
            <w:r>
              <w:rPr>
                <w:webHidden/>
                <w:rStyle w:val="IndexLink"/>
              </w:rPr>
              <w:t xml:space="preserve"> </w:t>
            </w:r>
            <w:r>
              <w:rPr>
                <w:rStyle w:val="IndexLink"/>
              </w:rPr>
              <w:t>5  Observations and Limitations</w:t>
              <w:tab/>
              <w:t>10</w:t>
            </w:r>
          </w:hyperlink>
        </w:p>
        <w:p>
          <w:pPr>
            <w:pStyle w:val="Contents1"/>
            <w:tabs>
              <w:tab w:val="clear" w:pos="9360"/>
              <w:tab w:val="right" w:pos="9638" w:leader="dot"/>
            </w:tabs>
            <w:rPr/>
          </w:pPr>
          <w:hyperlink w:anchor="__RefHeading___Toc11330_4253236247">
            <w:r>
              <w:rPr>
                <w:webHidden/>
                <w:rStyle w:val="IndexLink"/>
              </w:rPr>
              <w:t xml:space="preserve"> </w:t>
            </w:r>
            <w:r>
              <w:rPr>
                <w:rStyle w:val="IndexLink"/>
              </w:rPr>
              <w:t>6  Conclusions</w:t>
              <w:tab/>
              <w:t>10</w:t>
            </w:r>
          </w:hyperlink>
        </w:p>
        <w:p>
          <w:pPr>
            <w:pStyle w:val="Contents1"/>
            <w:tabs>
              <w:tab w:val="clear" w:pos="9360"/>
              <w:tab w:val="right" w:pos="9638" w:leader="dot"/>
            </w:tabs>
            <w:rPr/>
          </w:pPr>
          <w:hyperlink w:anchor="__RefHeading___Toc11332_4253236247">
            <w:r>
              <w:rPr>
                <w:webHidden/>
                <w:rStyle w:val="IndexLink"/>
              </w:rPr>
              <w:t xml:space="preserve"> </w:t>
            </w:r>
            <w:r>
              <w:rPr>
                <w:rStyle w:val="IndexLink"/>
              </w:rPr>
              <w:t>7  References</w:t>
              <w:tab/>
              <w:t>11</w:t>
            </w:r>
          </w:hyperlink>
        </w:p>
        <w:p>
          <w:pPr>
            <w:pStyle w:val="Contents1"/>
            <w:tabs>
              <w:tab w:val="clear" w:pos="9360"/>
              <w:tab w:val="right" w:pos="9638" w:leader="dot"/>
            </w:tabs>
            <w:rPr/>
          </w:pPr>
          <w:hyperlink w:anchor="__RefHeading___Toc11334_4253236247">
            <w:r>
              <w:rPr>
                <w:webHidden/>
                <w:rStyle w:val="IndexLink"/>
              </w:rPr>
              <w:t xml:space="preserve"> </w:t>
            </w:r>
            <w:r>
              <w:rPr>
                <w:rStyle w:val="IndexLink"/>
              </w:rPr>
              <w:t>8  Appendix</w:t>
              <w:tab/>
              <w:t>11</w:t>
            </w:r>
          </w:hyperlink>
        </w:p>
        <w:p>
          <w:pPr>
            <w:pStyle w:val="Contents2"/>
            <w:tabs>
              <w:tab w:val="clear" w:pos="9077"/>
              <w:tab w:val="right" w:pos="9638" w:leader="dot"/>
            </w:tabs>
            <w:rPr/>
          </w:pPr>
          <w:hyperlink w:anchor="__RefHeading___Toc11336_4253236247">
            <w:r>
              <w:rPr>
                <w:webHidden/>
                <w:rStyle w:val="IndexLink"/>
              </w:rPr>
              <w:t xml:space="preserve"> </w:t>
            </w:r>
            <w:r>
              <w:rPr>
                <w:rStyle w:val="IndexLink"/>
              </w:rPr>
              <w:t>8.1  Exploratory data analysis</w:t>
              <w:tab/>
              <w:t>11</w:t>
            </w:r>
          </w:hyperlink>
        </w:p>
        <w:p>
          <w:pPr>
            <w:pStyle w:val="Contents2"/>
            <w:tabs>
              <w:tab w:val="clear" w:pos="9077"/>
              <w:tab w:val="right" w:pos="9638" w:leader="dot"/>
            </w:tabs>
            <w:rPr/>
          </w:pPr>
          <w:hyperlink w:anchor="__RefHeading___Toc11338_4253236247">
            <w:r>
              <w:rPr>
                <w:webHidden/>
                <w:rStyle w:val="IndexLink"/>
              </w:rPr>
              <w:t xml:space="preserve"> </w:t>
            </w:r>
            <w:r>
              <w:rPr>
                <w:rStyle w:val="IndexLink"/>
              </w:rPr>
              <w:t>8.2  Modeling procedures</w:t>
              <w:tab/>
              <w:t>12</w:t>
            </w:r>
          </w:hyperlink>
        </w:p>
        <w:p>
          <w:pPr>
            <w:pStyle w:val="Contents2"/>
            <w:tabs>
              <w:tab w:val="clear" w:pos="9077"/>
              <w:tab w:val="right" w:pos="9638" w:leader="dot"/>
            </w:tabs>
            <w:rPr/>
          </w:pPr>
          <w:hyperlink w:anchor="__RefHeading___Toc11340_4253236247">
            <w:r>
              <w:rPr>
                <w:webHidden/>
                <w:rStyle w:val="IndexLink"/>
              </w:rPr>
              <w:t xml:space="preserve"> </w:t>
            </w:r>
            <w:r>
              <w:rPr>
                <w:rStyle w:val="IndexLink"/>
              </w:rPr>
              <w:t>8.3  Availability</w:t>
              <w:tab/>
              <w:t>14</w:t>
            </w:r>
          </w:hyperlink>
        </w:p>
        <w:p>
          <w:pPr>
            <w:pStyle w:val="Contents2"/>
            <w:tabs>
              <w:tab w:val="clear" w:pos="9077"/>
              <w:tab w:val="right" w:pos="9638" w:leader="dot"/>
            </w:tabs>
            <w:rPr/>
          </w:pPr>
          <w:hyperlink w:anchor="__RefHeading___Toc11342_4253236247">
            <w:r>
              <w:rPr>
                <w:webHidden/>
                <w:rStyle w:val="IndexLink"/>
              </w:rPr>
              <w:t xml:space="preserve"> </w:t>
            </w:r>
            <w:r>
              <w:rPr>
                <w:rStyle w:val="IndexLink"/>
              </w:rPr>
              <w:t>8.4  Analytical dataset</w:t>
              <w:tab/>
              <w:t>14</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Title"/>
        <w:rPr/>
      </w:pPr>
      <w:r>
        <w:rPr/>
        <w:t>Incidence rates of scorpion accidents in Urban Planning Areas of Americana/SP in 1998–2018</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69"/>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586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586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1"/>
        <w:rPr/>
      </w:pPr>
      <w:bookmarkStart w:id="0" w:name="__RefHeading___Toc11300_4253236247"/>
      <w:bookmarkStart w:id="1" w:name="abbreviations"/>
      <w:bookmarkEnd w:id="0"/>
      <w:r>
        <w:rPr/>
        <w:t>Abbreviations</w:t>
      </w:r>
      <w:bookmarkEnd w:id="1"/>
    </w:p>
    <w:p>
      <w:pPr>
        <w:pStyle w:val="Heading1"/>
        <w:rPr/>
      </w:pPr>
      <w:bookmarkStart w:id="2" w:name="__RefHeading___Toc11302_4253236247"/>
      <w:bookmarkStart w:id="3" w:name="context"/>
      <w:bookmarkEnd w:id="2"/>
      <w:r>
        <w:rPr/>
        <w:t>Context</w:t>
      </w:r>
    </w:p>
    <w:p>
      <w:pPr>
        <w:pStyle w:val="Heading2"/>
        <w:rPr/>
      </w:pPr>
      <w:bookmarkStart w:id="4" w:name="__RefHeading___Toc11304_4253236247"/>
      <w:bookmarkStart w:id="5" w:name="objectives"/>
      <w:bookmarkEnd w:id="4"/>
      <w:r>
        <w:rPr/>
        <w:t>Objectives</w:t>
      </w:r>
    </w:p>
    <w:p>
      <w:pPr>
        <w:pStyle w:val="FirstParagraph"/>
        <w:rPr/>
      </w:pPr>
      <w:bookmarkStart w:id="6" w:name="objectives"/>
      <w:r>
        <w:rPr/>
        <w:t>Describe the incidence rates of scorpion accidents in ten Urban Planning Areas of Americana/SP between 1998 and 2018.</w:t>
      </w:r>
      <w:bookmarkEnd w:id="6"/>
    </w:p>
    <w:p>
      <w:pPr>
        <w:pStyle w:val="Heading2"/>
        <w:rPr/>
      </w:pPr>
      <w:bookmarkStart w:id="7" w:name="context"/>
      <w:bookmarkStart w:id="8" w:name="__RefHeading___Toc11306_4253236247"/>
      <w:bookmarkStart w:id="9" w:name="data-reception-and-cleaning"/>
      <w:bookmarkEnd w:id="8"/>
      <w:r>
        <w:rPr/>
        <w:t>Data reception and cleaning</w:t>
      </w:r>
      <w:bookmarkEnd w:id="7"/>
      <w:bookmarkEnd w:id="9"/>
    </w:p>
    <w:p>
      <w:pPr>
        <w:pStyle w:val="Heading1"/>
        <w:rPr/>
      </w:pPr>
      <w:bookmarkStart w:id="10" w:name="__RefHeading___Toc11308_4253236247"/>
      <w:bookmarkStart w:id="11" w:name="methods"/>
      <w:bookmarkEnd w:id="10"/>
      <w:r>
        <w:rPr/>
        <w:t>Methods</w:t>
      </w:r>
    </w:p>
    <w:p>
      <w:pPr>
        <w:pStyle w:val="Heading2"/>
        <w:rPr/>
      </w:pPr>
      <w:bookmarkStart w:id="12" w:name="__RefHeading___Toc11310_4253236247"/>
      <w:bookmarkStart w:id="13" w:name="variables"/>
      <w:bookmarkEnd w:id="12"/>
      <w:r>
        <w:rPr/>
        <w:t>Variables</w:t>
      </w:r>
    </w:p>
    <w:p>
      <w:pPr>
        <w:pStyle w:val="Heading3"/>
        <w:rPr/>
      </w:pPr>
      <w:bookmarkStart w:id="14" w:name="__RefHeading___Toc11312_4253236247"/>
      <w:bookmarkStart w:id="15" w:name="primary-and-secondary-outcomes"/>
      <w:bookmarkEnd w:id="14"/>
      <w:r>
        <w:rPr/>
        <w:t>Primary and secondary outcomes</w:t>
      </w:r>
      <w:bookmarkEnd w:id="15"/>
    </w:p>
    <w:p>
      <w:pPr>
        <w:pStyle w:val="Heading3"/>
        <w:rPr/>
      </w:pPr>
      <w:bookmarkStart w:id="16" w:name="variables"/>
      <w:bookmarkStart w:id="17" w:name="__RefHeading___Toc11314_4253236247"/>
      <w:bookmarkStart w:id="18" w:name="covariates"/>
      <w:bookmarkEnd w:id="17"/>
      <w:r>
        <w:rPr/>
        <w:t>Covariates</w:t>
      </w:r>
      <w:bookmarkEnd w:id="16"/>
      <w:bookmarkEnd w:id="18"/>
    </w:p>
    <w:p>
      <w:pPr>
        <w:pStyle w:val="Heading2"/>
        <w:rPr/>
      </w:pPr>
      <w:bookmarkStart w:id="19" w:name="__RefHeading___Toc11316_4253236247"/>
      <w:bookmarkStart w:id="20" w:name="statistical-analyses"/>
      <w:bookmarkEnd w:id="19"/>
      <w:r>
        <w:rPr/>
        <w:t>Statistical analyses</w:t>
      </w:r>
    </w:p>
    <w:p>
      <w:pPr>
        <w:pStyle w:val="FirstParagraph"/>
        <w:rPr/>
      </w:pPr>
      <w:r>
        <w:rPr/>
        <w:t xml:space="preserve">This analysis was performed using statistical software </w:t>
      </w:r>
      <w:r>
        <w:rPr>
          <w:rStyle w:val="VerbatimChar"/>
        </w:rPr>
        <w:t>R</w:t>
      </w:r>
      <w:r>
        <w:rPr/>
        <w:t xml:space="preserve"> version 4.1.3.</w:t>
      </w:r>
      <w:bookmarkEnd w:id="11"/>
      <w:bookmarkEnd w:id="20"/>
    </w:p>
    <w:p>
      <w:pPr>
        <w:pStyle w:val="Heading1"/>
        <w:rPr/>
      </w:pPr>
      <w:bookmarkStart w:id="21" w:name="__RefHeading___Toc11318_4253236247"/>
      <w:bookmarkStart w:id="22" w:name="results"/>
      <w:bookmarkEnd w:id="21"/>
      <w:r>
        <w:rPr/>
        <w:t>Results</w:t>
      </w:r>
    </w:p>
    <w:p>
      <w:pPr>
        <w:pStyle w:val="Heading2"/>
        <w:rPr/>
      </w:pPr>
      <w:bookmarkStart w:id="23" w:name="__RefHeading___Toc11320_4253236247"/>
      <w:bookmarkStart w:id="24" w:name="study-population-and-follow-up"/>
      <w:bookmarkEnd w:id="23"/>
      <w:r>
        <w:rPr/>
        <w:t>Study population and follow up</w:t>
      </w:r>
    </w:p>
    <w:p>
      <w:pPr>
        <w:pStyle w:val="Heading3"/>
        <w:rPr/>
      </w:pPr>
      <w:bookmarkStart w:id="25" w:name="__RefHeading___Toc11322_4253236247"/>
      <w:bookmarkStart w:id="26" w:name="urban-planning-areas"/>
      <w:bookmarkEnd w:id="25"/>
      <w:r>
        <w:rPr/>
        <w:t>Urban Planning Areas</w:t>
      </w:r>
    </w:p>
    <w:p>
      <w:pPr>
        <w:pStyle w:val="TableCaption"/>
        <w:rPr/>
      </w:pPr>
      <w:r>
        <w:rPr>
          <w:b/>
          <w:bCs/>
        </w:rPr>
        <w:t>Table 1</w:t>
      </w:r>
      <w:r>
        <w:rPr/>
        <w:t xml:space="preserve"> caption</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4976"/>
        <w:gridCol w:w="2943"/>
      </w:tblGrid>
      <w:tr>
        <w:trPr/>
        <w:tc>
          <w:tcPr>
            <w:tcW w:w="497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Characteristic</w:t>
            </w:r>
          </w:p>
        </w:tc>
        <w:tc>
          <w:tcPr>
            <w:tcW w:w="2943"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N = 10</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Sewage network (km)</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Mean (SD)</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91 (35)</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Median (IQR)</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96 (72, 109)</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Range</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32, 152</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Rainwater network (km)</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Mean (SD)</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16.0 (7.5)</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Median (IQR)</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15.4 (11.5, 22.8)</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Range</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4.8, 24.7</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Green areas (km²)</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Mean (SD)</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0.87 (0.81)</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Median (IQR)</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0.70 (0.18, 1.39)</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Range</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0.06, 2.11</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Irregular garbage disposal areas</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Mean (SD)</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40 (25)</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Median (IQR)</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38 (18, 56)</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Range</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10, 85</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Informal recycling units</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Mean (SD)</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4.20 (3.05)</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Median (IQR)</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3.50 (1.25, 7.50)</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Range</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1.00, 8.00</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Junkyard units</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Mean (SD)</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1.90 (2.18)</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Median (IQR)</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2.00 (0.00, 2.75)</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Range</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0.00, 7.00</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Burned-out areas (foci)</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Mean (SD)</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55 (31)</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Median (IQR)</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52 (27, 78)</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Range</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14, 107</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Area (km²)</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Mean (SD)</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9.3 (5.5)</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Median (IQR)</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9.3 (5.2, 14.2)</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Range</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1.7, 16.0</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Hydrography area (km²)</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Mean (SD)</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0.023 (0.019)</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Median (IQR)</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0.020 (0.008, 0.038)</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Range</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0.002, 0.053</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Railway lines (km)</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Mean (SD)</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1.60 (1.97)</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Median (IQR)</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0.93 (0.00, 2.60)</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Range</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0.00, 5.65</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Municipal recycling units</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Mean (SD)</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0.90 (0.74)</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Median (IQR)</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1.00 (0.25, 1.00)</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Range</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0.00, 2.00</w:t>
            </w:r>
          </w:p>
        </w:tc>
      </w:tr>
      <w:tr>
        <w:trPr/>
        <w:tc>
          <w:tcPr>
            <w:tcW w:w="4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Presence of a cemitery, n (%)</w:t>
            </w:r>
          </w:p>
        </w:tc>
        <w:tc>
          <w:tcPr>
            <w:tcW w:w="294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 (20%)</w:t>
            </w:r>
          </w:p>
        </w:tc>
      </w:tr>
    </w:tbl>
    <w:p>
      <w:pPr>
        <w:pStyle w:val="CaptionedFigure"/>
        <w:rPr/>
      </w:pPr>
      <w:r>
        <w:rPr/>
        <w:drawing>
          <wp:inline distT="0" distB="0" distL="0" distR="0">
            <wp:extent cx="5777230" cy="5777230"/>
            <wp:effectExtent l="0" t="0" r="0" b="0"/>
            <wp:docPr id="3" name="Picture" descr="Figure 1 Distribution density of characteristics in ten urban planning areas (UPA) in Americana/SP (1998-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1 Distribution density of characteristics in ten urban planning areas (UPA) in Americana/SP (1998-2008)."/>
                    <pic:cNvPicPr>
                      <a:picLocks noChangeAspect="1" noChangeArrowheads="1"/>
                    </pic:cNvPicPr>
                  </pic:nvPicPr>
                  <pic:blipFill>
                    <a:blip r:embed="rId2"/>
                    <a:stretch>
                      <a:fillRect/>
                    </a:stretch>
                  </pic:blipFill>
                  <pic:spPr bwMode="auto">
                    <a:xfrm>
                      <a:off x="0" y="0"/>
                      <a:ext cx="5777230" cy="5777230"/>
                    </a:xfrm>
                    <a:prstGeom prst="rect">
                      <a:avLst/>
                    </a:prstGeom>
                  </pic:spPr>
                </pic:pic>
              </a:graphicData>
            </a:graphic>
          </wp:inline>
        </w:drawing>
      </w:r>
    </w:p>
    <w:p>
      <w:pPr>
        <w:pStyle w:val="ImageCaption"/>
        <w:rPr/>
      </w:pPr>
      <w:r>
        <w:rPr>
          <w:b/>
          <w:bCs/>
        </w:rPr>
        <w:t>Figure 1</w:t>
      </w:r>
      <w:r>
        <w:rPr/>
        <w:t xml:space="preserve"> Distribution density of characteristics in ten urban planning areas (UPA) in Americana/SP (1998-2008).</w:t>
      </w:r>
      <w:bookmarkEnd w:id="26"/>
    </w:p>
    <w:p>
      <w:pPr>
        <w:pStyle w:val="Heading3"/>
        <w:rPr/>
      </w:pPr>
      <w:bookmarkStart w:id="27" w:name="__RefHeading___Toc11324_4253236247"/>
      <w:bookmarkStart w:id="28" w:name="population"/>
      <w:bookmarkEnd w:id="27"/>
      <w:r>
        <w:rPr/>
        <w:t>Population</w:t>
      </w:r>
    </w:p>
    <w:p>
      <w:pPr>
        <w:pStyle w:val="FirstParagraph"/>
        <w:rPr/>
      </w:pPr>
      <w:r>
        <w:rPr/>
        <w:t>The population in all ten UPA have increased from 174426 to 237022 people during the 1998 – 2008 period. The three UPA that showed the largest population increase were UPA 4, 6 and 10 with 14689, 11639 and 10600 net growth, respectively (Figue 2). On the other hand the three UPA with the lowest population growth in the period were UPA 1, UPA 8 and UPA 9 with 802, 1790 and 1917 new persons, respectively.</w:t>
      </w:r>
    </w:p>
    <w:p>
      <w:pPr>
        <w:pStyle w:val="CaptionedFigure"/>
        <w:rPr/>
      </w:pPr>
      <w:r>
        <w:rPr/>
        <w:drawing>
          <wp:inline distT="0" distB="0" distL="0" distR="0">
            <wp:extent cx="4333240" cy="4333240"/>
            <wp:effectExtent l="0" t="0" r="0" b="0"/>
            <wp:docPr id="4" name="Image1" descr="Figure 2 Population trajectories in ten urban planning areas (UPA) in Americana/SP (1998-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Figure 2 Population trajectories in ten urban planning areas (UPA) in Americana/SP (1998-2008)."/>
                    <pic:cNvPicPr>
                      <a:picLocks noChangeAspect="1" noChangeArrowheads="1"/>
                    </pic:cNvPicPr>
                  </pic:nvPicPr>
                  <pic:blipFill>
                    <a:blip r:embed="rId3"/>
                    <a:stretch>
                      <a:fillRect/>
                    </a:stretch>
                  </pic:blipFill>
                  <pic:spPr bwMode="auto">
                    <a:xfrm>
                      <a:off x="0" y="0"/>
                      <a:ext cx="4333240" cy="4333240"/>
                    </a:xfrm>
                    <a:prstGeom prst="rect">
                      <a:avLst/>
                    </a:prstGeom>
                  </pic:spPr>
                </pic:pic>
              </a:graphicData>
            </a:graphic>
          </wp:inline>
        </w:drawing>
      </w:r>
    </w:p>
    <w:p>
      <w:pPr>
        <w:pStyle w:val="ImageCaption"/>
        <w:rPr/>
      </w:pPr>
      <w:r>
        <w:rPr>
          <w:b/>
          <w:bCs/>
        </w:rPr>
        <w:t>Figure 2</w:t>
      </w:r>
      <w:r>
        <w:rPr/>
        <w:t xml:space="preserve"> Population trajectories in ten urban planning areas (UPA) in Americana/SP (1998-2008).</w:t>
      </w:r>
    </w:p>
    <w:p>
      <w:pPr>
        <w:pStyle w:val="TextBody"/>
        <w:rPr/>
      </w:pPr>
      <w:r>
        <w:rPr/>
        <w:t>While population grew in all UPA, in most cases the trajectory did not follow a monotonic trend. In particular population at UPA 4 and 8 did not grow steadily in order to reach the to the ranks of top 3 and bottom 3 in either absolute number and net growth.</w:t>
      </w:r>
    </w:p>
    <w:p>
      <w:pPr>
        <w:pStyle w:val="TextBody"/>
        <w:rPr/>
      </w:pPr>
      <w:r>
        <w:rPr/>
        <w:t>UPA 4 and 8 started with similar population sizes, but at the end of the study period had dramatic final population differences. Both did not start among the largest populations but UPA 4 had a sharp population increase while UPA 8 had a sharp decrease, at around the same period. Having started with a similar population size, the final difference between the final population at these two particular UPA could be explained by this shift.</w:t>
      </w:r>
    </w:p>
    <w:p>
      <w:pPr>
        <w:pStyle w:val="TextBody"/>
        <w:rPr/>
      </w:pPr>
      <w:r>
        <w:rPr/>
        <w:t>Furthermore, UPA 2 and 9 had a sharp decrease around the same period before resuming the slower, predictable growth rate of previous years. UPA 2 had started with the second largest population of the ten UPA at 1998 and ended at the fourth largest population.</w:t>
      </w:r>
    </w:p>
    <w:p>
      <w:pPr>
        <w:pStyle w:val="TextBody"/>
        <w:rPr/>
      </w:pPr>
      <w:bookmarkStart w:id="29" w:name="study-population-and-follow-up"/>
      <w:bookmarkStart w:id="30" w:name="population"/>
      <w:r>
        <w:rPr/>
        <w:t>It is difficult to assess the impact of such rapid movements in population size in the accident rates.   We will assess this impact in the section 4.2.</w:t>
      </w:r>
      <w:bookmarkEnd w:id="29"/>
      <w:bookmarkEnd w:id="30"/>
    </w:p>
    <w:p>
      <w:pPr>
        <w:pStyle w:val="Heading2"/>
        <w:rPr/>
      </w:pPr>
      <w:bookmarkStart w:id="31" w:name="__RefHeading___Toc11326_4253236247"/>
      <w:bookmarkStart w:id="32" w:name="incidence-of-scorpion-accidents"/>
      <w:bookmarkEnd w:id="31"/>
      <w:r>
        <w:rPr/>
        <w:t>Incidence of scorpion accidents</w:t>
      </w:r>
    </w:p>
    <w:p>
      <w:pPr>
        <w:pStyle w:val="FirstParagraph"/>
        <w:rPr/>
      </w:pPr>
      <w:r>
        <w:rPr/>
        <w:t>The models used in this analysis allow for the estimation of the expected number of scorpion accidents per 10000 persons (Table 2). UPA 10 was chosen as the baseline for comparison for having the lowest absolute risk in the full model. Table 2 shows how the risk in other UPA compares to the risk in the reference UPA.</w:t>
      </w:r>
    </w:p>
    <w:p>
      <w:pPr>
        <w:pStyle w:val="TextBody"/>
        <w:rPr/>
      </w:pPr>
      <w:r>
        <w:rPr/>
        <w:t>Without the assumption of incidence growth, the baseline risk of scorpion accident was 7.24 accidents per UPA (Crude estimate in Table 2). n this simpler model, while most UPA appear to have larger numbers of expected accidents, risk ratios varied between a 50% decrease (UPA 8) to an 100% increase (UPA 3), when compared to the reference UPA.</w:t>
      </w:r>
    </w:p>
    <w:p>
      <w:pPr>
        <w:pStyle w:val="TextBody"/>
        <w:rPr/>
      </w:pPr>
      <w:r>
        <w:rPr/>
        <w:t>With the assumption of incidence growth (Fully adjusted in Table 2), varying by UPA across the study period, the baseline risk of scorpion accident was 0.83 accidents per UPA. For each year, on there was an average increase of 1.17 accidents and besides this, every UPA had their own independent incidence rate estimated. After controlling for this, the three UPA with the largest IRR compared to the baseline risk were UPA 4, 7 and 5, while the smallest increase were observed in UPA 2, 8 and 3. In this model, the increase in risk of accidents varied between 70% increase (UPA 2) to approximately 800% increase (UPA 4), when compared to UPA 10. UPA 2 was the only region that had less than 100% increased population risk of scorpion accidents.</w:t>
      </w:r>
      <w:r>
        <w:br w:type="page"/>
      </w:r>
    </w:p>
    <w:p>
      <w:pPr>
        <w:pStyle w:val="TableCaption"/>
        <w:rPr/>
      </w:pPr>
      <w:r>
        <w:rPr>
          <w:b/>
          <w:bCs/>
        </w:rPr>
        <w:t>Table 2</w:t>
      </w:r>
      <w:r>
        <w:rPr/>
        <w:t xml:space="preserve"> Incidence rates of scorpion accidents in ten urban planning areas (UPA) in Americana/SP (1998-2008).</w:t>
      </w:r>
    </w:p>
    <w:tbl>
      <w:tblPr>
        <w:tblW w:w="8299" w:type="dxa"/>
        <w:jc w:val="left"/>
        <w:tblInd w:w="25" w:type="dxa"/>
        <w:tblLayout w:type="fixed"/>
        <w:tblCellMar>
          <w:top w:w="55" w:type="dxa"/>
          <w:left w:w="55" w:type="dxa"/>
          <w:bottom w:w="55" w:type="dxa"/>
          <w:right w:w="55" w:type="dxa"/>
        </w:tblCellMar>
      </w:tblPr>
      <w:tblGrid>
        <w:gridCol w:w="2425"/>
        <w:gridCol w:w="591"/>
        <w:gridCol w:w="1382"/>
        <w:gridCol w:w="964"/>
        <w:gridCol w:w="591"/>
        <w:gridCol w:w="1382"/>
        <w:gridCol w:w="964"/>
      </w:tblGrid>
      <w:tr>
        <w:trPr/>
        <w:tc>
          <w:tcPr>
            <w:tcW w:w="2425" w:type="dxa"/>
            <w:tcBorders>
              <w:top w:val="single" w:sz="4" w:space="0" w:color="000000"/>
              <w:left w:val="single" w:sz="4" w:space="0" w:color="000000"/>
              <w:bottom w:val="single" w:sz="4" w:space="0" w:color="000000"/>
            </w:tcBorders>
            <w:shd w:color="auto" w:fill="B2B2B2"/>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Characteristic</w:t>
            </w:r>
          </w:p>
        </w:tc>
        <w:tc>
          <w:tcPr>
            <w:tcW w:w="591" w:type="dxa"/>
            <w:tcBorders>
              <w:top w:val="single" w:sz="4" w:space="0" w:color="000000"/>
              <w:left w:val="single" w:sz="4" w:space="0" w:color="000000"/>
              <w:bottom w:val="single" w:sz="4" w:space="0" w:color="000000"/>
            </w:tcBorders>
            <w:shd w:color="auto" w:fill="B2B2B2"/>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18"/>
                <w:szCs w:val="18"/>
                <w:u w:val="none"/>
              </w:rPr>
              <w:t>IRR</w:t>
            </w:r>
            <w:r>
              <w:rPr>
                <w:rFonts w:ascii="Ubuntu" w:hAnsi="Ubuntu"/>
                <w:b/>
                <w:bCs/>
                <w:i/>
                <w:iCs w:val="false"/>
                <w:strike w:val="false"/>
                <w:dstrike w:val="false"/>
                <w:outline w:val="false"/>
                <w:shadow w:val="false"/>
                <w:color w:val="000000"/>
                <w:sz w:val="18"/>
                <w:szCs w:val="18"/>
                <w:u w:val="none"/>
                <w:vertAlign w:val="superscript"/>
              </w:rPr>
              <w:t>1</w:t>
            </w:r>
          </w:p>
        </w:tc>
        <w:tc>
          <w:tcPr>
            <w:tcW w:w="1382" w:type="dxa"/>
            <w:tcBorders>
              <w:top w:val="single" w:sz="4" w:space="0" w:color="000000"/>
              <w:left w:val="single" w:sz="4" w:space="0" w:color="000000"/>
              <w:bottom w:val="single" w:sz="4" w:space="0" w:color="000000"/>
            </w:tcBorders>
            <w:shd w:color="auto" w:fill="B2B2B2"/>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18"/>
                <w:szCs w:val="18"/>
                <w:u w:val="none"/>
              </w:rPr>
              <w:t>95% CI</w:t>
            </w:r>
            <w:r>
              <w:rPr>
                <w:rFonts w:ascii="Ubuntu" w:hAnsi="Ubuntu"/>
                <w:b/>
                <w:bCs/>
                <w:i/>
                <w:iCs w:val="false"/>
                <w:strike w:val="false"/>
                <w:dstrike w:val="false"/>
                <w:outline w:val="false"/>
                <w:shadow w:val="false"/>
                <w:color w:val="000000"/>
                <w:sz w:val="18"/>
                <w:szCs w:val="18"/>
                <w:u w:val="none"/>
                <w:vertAlign w:val="superscript"/>
              </w:rPr>
              <w:t>1</w:t>
            </w:r>
          </w:p>
        </w:tc>
        <w:tc>
          <w:tcPr>
            <w:tcW w:w="964" w:type="dxa"/>
            <w:tcBorders>
              <w:top w:val="single" w:sz="4" w:space="0" w:color="000000"/>
              <w:left w:val="single" w:sz="4" w:space="0" w:color="000000"/>
              <w:bottom w:val="single" w:sz="4" w:space="0" w:color="000000"/>
            </w:tcBorders>
            <w:shd w:color="auto" w:fill="B2B2B2"/>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p-value</w:t>
            </w:r>
          </w:p>
        </w:tc>
        <w:tc>
          <w:tcPr>
            <w:tcW w:w="591" w:type="dxa"/>
            <w:tcBorders>
              <w:top w:val="single" w:sz="4" w:space="0" w:color="000000"/>
              <w:left w:val="single" w:sz="4" w:space="0" w:color="000000"/>
              <w:bottom w:val="single" w:sz="4" w:space="0" w:color="000000"/>
            </w:tcBorders>
            <w:shd w:color="auto" w:fill="B2B2B2"/>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18"/>
                <w:szCs w:val="18"/>
                <w:u w:val="none"/>
              </w:rPr>
              <w:t>IRR</w:t>
            </w:r>
            <w:r>
              <w:rPr>
                <w:rFonts w:ascii="Ubuntu" w:hAnsi="Ubuntu"/>
                <w:b/>
                <w:bCs/>
                <w:i/>
                <w:iCs w:val="false"/>
                <w:strike w:val="false"/>
                <w:dstrike w:val="false"/>
                <w:outline w:val="false"/>
                <w:shadow w:val="false"/>
                <w:color w:val="000000"/>
                <w:sz w:val="18"/>
                <w:szCs w:val="18"/>
                <w:u w:val="none"/>
                <w:vertAlign w:val="superscript"/>
              </w:rPr>
              <w:t>1</w:t>
            </w:r>
          </w:p>
        </w:tc>
        <w:tc>
          <w:tcPr>
            <w:tcW w:w="1382" w:type="dxa"/>
            <w:tcBorders>
              <w:top w:val="single" w:sz="4" w:space="0" w:color="000000"/>
              <w:left w:val="single" w:sz="4" w:space="0" w:color="000000"/>
              <w:bottom w:val="single" w:sz="4" w:space="0" w:color="000000"/>
            </w:tcBorders>
            <w:shd w:color="auto" w:fill="B2B2B2"/>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18"/>
                <w:szCs w:val="18"/>
                <w:u w:val="none"/>
              </w:rPr>
              <w:t>95% CI</w:t>
            </w:r>
            <w:r>
              <w:rPr>
                <w:rFonts w:ascii="Ubuntu" w:hAnsi="Ubuntu"/>
                <w:b/>
                <w:bCs/>
                <w:i/>
                <w:iCs w:val="false"/>
                <w:strike w:val="false"/>
                <w:dstrike w:val="false"/>
                <w:outline w:val="false"/>
                <w:shadow w:val="false"/>
                <w:color w:val="000000"/>
                <w:sz w:val="18"/>
                <w:szCs w:val="18"/>
                <w:u w:val="none"/>
                <w:vertAlign w:val="superscript"/>
              </w:rPr>
              <w:t>1</w:t>
            </w:r>
          </w:p>
        </w:tc>
        <w:tc>
          <w:tcPr>
            <w:tcW w:w="964" w:type="dxa"/>
            <w:tcBorders>
              <w:top w:val="single" w:sz="4" w:space="0" w:color="000000"/>
              <w:left w:val="single" w:sz="4" w:space="0" w:color="000000"/>
              <w:bottom w:val="single" w:sz="4" w:space="0" w:color="000000"/>
              <w:right w:val="single" w:sz="4" w:space="0" w:color="000000"/>
            </w:tcBorders>
            <w:shd w:color="auto" w:fill="B2B2B2"/>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p-value</w:t>
            </w:r>
          </w:p>
        </w:tc>
      </w:tr>
      <w:tr>
        <w:trPr/>
        <w:tc>
          <w:tcPr>
            <w:tcW w:w="2425"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2937" w:type="dxa"/>
            <w:gridSpan w:val="3"/>
            <w:tcBorders>
              <w:left w:val="single" w:sz="4" w:space="0" w:color="000000"/>
              <w:bottom w:val="single" w:sz="4" w:space="0" w:color="000000"/>
            </w:tcBorders>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Crude estimate</w:t>
            </w:r>
          </w:p>
        </w:tc>
        <w:tc>
          <w:tcPr>
            <w:tcW w:w="2937" w:type="dxa"/>
            <w:gridSpan w:val="3"/>
            <w:tcBorders>
              <w:left w:val="single" w:sz="4" w:space="0" w:color="000000"/>
              <w:bottom w:val="single" w:sz="4" w:space="0" w:color="000000"/>
              <w:right w:val="single" w:sz="4" w:space="0" w:color="000000"/>
            </w:tcBorders>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Fully adjusted</w:t>
            </w:r>
          </w:p>
        </w:tc>
      </w:tr>
      <w:tr>
        <w:trPr/>
        <w:tc>
          <w:tcPr>
            <w:tcW w:w="2425" w:type="dxa"/>
            <w:tcBorders>
              <w:left w:val="single" w:sz="4" w:space="0" w:color="000000"/>
              <w:bottom w:val="single" w:sz="4" w:space="0" w:color="000000"/>
            </w:tcBorders>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Urban Planning Area</w:t>
            </w:r>
          </w:p>
        </w:tc>
        <w:tc>
          <w:tcPr>
            <w:tcW w:w="59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82"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964"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59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82"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964"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2425"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10</w:t>
            </w:r>
          </w:p>
        </w:tc>
        <w:tc>
          <w:tcPr>
            <w:tcW w:w="59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1.00</w:t>
            </w:r>
          </w:p>
        </w:tc>
        <w:tc>
          <w:tcPr>
            <w:tcW w:w="1382"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w:t>
            </w:r>
          </w:p>
        </w:tc>
        <w:tc>
          <w:tcPr>
            <w:tcW w:w="964"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59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1.00</w:t>
            </w:r>
          </w:p>
        </w:tc>
        <w:tc>
          <w:tcPr>
            <w:tcW w:w="1382"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w:t>
            </w:r>
          </w:p>
        </w:tc>
        <w:tc>
          <w:tcPr>
            <w:tcW w:w="964"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2425"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w:t>
            </w:r>
          </w:p>
        </w:tc>
        <w:tc>
          <w:tcPr>
            <w:tcW w:w="59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1.21</w:t>
            </w:r>
          </w:p>
        </w:tc>
        <w:tc>
          <w:tcPr>
            <w:tcW w:w="1382"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0.98 to 1.48</w:t>
            </w:r>
          </w:p>
        </w:tc>
        <w:tc>
          <w:tcPr>
            <w:tcW w:w="964"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0.070</w:t>
            </w:r>
          </w:p>
        </w:tc>
        <w:tc>
          <w:tcPr>
            <w:tcW w:w="59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5.14</w:t>
            </w:r>
          </w:p>
        </w:tc>
        <w:tc>
          <w:tcPr>
            <w:tcW w:w="1382"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2.87 to 9.04</w:t>
            </w:r>
          </w:p>
        </w:tc>
        <w:tc>
          <w:tcPr>
            <w:tcW w:w="964"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r>
      <w:tr>
        <w:trPr/>
        <w:tc>
          <w:tcPr>
            <w:tcW w:w="2425"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w:t>
            </w:r>
          </w:p>
        </w:tc>
        <w:tc>
          <w:tcPr>
            <w:tcW w:w="59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1.46</w:t>
            </w:r>
          </w:p>
        </w:tc>
        <w:tc>
          <w:tcPr>
            <w:tcW w:w="1382"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1.29 to 1.65</w:t>
            </w:r>
          </w:p>
        </w:tc>
        <w:tc>
          <w:tcPr>
            <w:tcW w:w="964"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c>
          <w:tcPr>
            <w:tcW w:w="59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1.71</w:t>
            </w:r>
          </w:p>
        </w:tc>
        <w:tc>
          <w:tcPr>
            <w:tcW w:w="1382"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1.11 to 2.65</w:t>
            </w:r>
          </w:p>
        </w:tc>
        <w:tc>
          <w:tcPr>
            <w:tcW w:w="964"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0.016</w:t>
            </w:r>
          </w:p>
        </w:tc>
      </w:tr>
      <w:tr>
        <w:trPr/>
        <w:tc>
          <w:tcPr>
            <w:tcW w:w="2425"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w:t>
            </w:r>
          </w:p>
        </w:tc>
        <w:tc>
          <w:tcPr>
            <w:tcW w:w="59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2.06</w:t>
            </w:r>
          </w:p>
        </w:tc>
        <w:tc>
          <w:tcPr>
            <w:tcW w:w="1382"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1.79 to 2.37</w:t>
            </w:r>
          </w:p>
        </w:tc>
        <w:tc>
          <w:tcPr>
            <w:tcW w:w="964"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c>
          <w:tcPr>
            <w:tcW w:w="59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2.61</w:t>
            </w:r>
          </w:p>
        </w:tc>
        <w:tc>
          <w:tcPr>
            <w:tcW w:w="1382"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1.57 to 4.32</w:t>
            </w:r>
          </w:p>
        </w:tc>
        <w:tc>
          <w:tcPr>
            <w:tcW w:w="964"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r>
      <w:tr>
        <w:trPr/>
        <w:tc>
          <w:tcPr>
            <w:tcW w:w="2425"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w:t>
            </w:r>
          </w:p>
        </w:tc>
        <w:tc>
          <w:tcPr>
            <w:tcW w:w="59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1.49</w:t>
            </w:r>
          </w:p>
        </w:tc>
        <w:tc>
          <w:tcPr>
            <w:tcW w:w="1382"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1.32 to 1.68</w:t>
            </w:r>
          </w:p>
        </w:tc>
        <w:tc>
          <w:tcPr>
            <w:tcW w:w="964"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c>
          <w:tcPr>
            <w:tcW w:w="59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9.39</w:t>
            </w:r>
          </w:p>
        </w:tc>
        <w:tc>
          <w:tcPr>
            <w:tcW w:w="1382"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6.39 to 14.0</w:t>
            </w:r>
          </w:p>
        </w:tc>
        <w:tc>
          <w:tcPr>
            <w:tcW w:w="964"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r>
      <w:tr>
        <w:trPr/>
        <w:tc>
          <w:tcPr>
            <w:tcW w:w="2425"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w:t>
            </w:r>
          </w:p>
        </w:tc>
        <w:tc>
          <w:tcPr>
            <w:tcW w:w="59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1.87</w:t>
            </w:r>
          </w:p>
        </w:tc>
        <w:tc>
          <w:tcPr>
            <w:tcW w:w="1382"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1.65 to 2.13</w:t>
            </w:r>
          </w:p>
        </w:tc>
        <w:tc>
          <w:tcPr>
            <w:tcW w:w="964"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c>
          <w:tcPr>
            <w:tcW w:w="59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7.78</w:t>
            </w:r>
          </w:p>
        </w:tc>
        <w:tc>
          <w:tcPr>
            <w:tcW w:w="1382"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5.21 to 11.7</w:t>
            </w:r>
          </w:p>
        </w:tc>
        <w:tc>
          <w:tcPr>
            <w:tcW w:w="964"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r>
      <w:tr>
        <w:trPr/>
        <w:tc>
          <w:tcPr>
            <w:tcW w:w="2425"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w:t>
            </w:r>
          </w:p>
        </w:tc>
        <w:tc>
          <w:tcPr>
            <w:tcW w:w="59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1.29</w:t>
            </w:r>
          </w:p>
        </w:tc>
        <w:tc>
          <w:tcPr>
            <w:tcW w:w="1382"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1.14 to 1.45</w:t>
            </w:r>
          </w:p>
        </w:tc>
        <w:tc>
          <w:tcPr>
            <w:tcW w:w="964"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c>
          <w:tcPr>
            <w:tcW w:w="59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3.94</w:t>
            </w:r>
          </w:p>
        </w:tc>
        <w:tc>
          <w:tcPr>
            <w:tcW w:w="1382"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2.66 to 5.92</w:t>
            </w:r>
          </w:p>
        </w:tc>
        <w:tc>
          <w:tcPr>
            <w:tcW w:w="964"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r>
      <w:tr>
        <w:trPr/>
        <w:tc>
          <w:tcPr>
            <w:tcW w:w="2425"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7</w:t>
            </w:r>
          </w:p>
        </w:tc>
        <w:tc>
          <w:tcPr>
            <w:tcW w:w="59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1.57</w:t>
            </w:r>
          </w:p>
        </w:tc>
        <w:tc>
          <w:tcPr>
            <w:tcW w:w="1382"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1.37 to 1.79</w:t>
            </w:r>
          </w:p>
        </w:tc>
        <w:tc>
          <w:tcPr>
            <w:tcW w:w="964"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c>
          <w:tcPr>
            <w:tcW w:w="59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8.50</w:t>
            </w:r>
          </w:p>
        </w:tc>
        <w:tc>
          <w:tcPr>
            <w:tcW w:w="1382"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5.66 to 12.9</w:t>
            </w:r>
          </w:p>
        </w:tc>
        <w:tc>
          <w:tcPr>
            <w:tcW w:w="964"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r>
      <w:tr>
        <w:trPr/>
        <w:tc>
          <w:tcPr>
            <w:tcW w:w="2425"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8</w:t>
            </w:r>
          </w:p>
        </w:tc>
        <w:tc>
          <w:tcPr>
            <w:tcW w:w="59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0.54</w:t>
            </w:r>
          </w:p>
        </w:tc>
        <w:tc>
          <w:tcPr>
            <w:tcW w:w="1382"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0.46 to 0.65</w:t>
            </w:r>
          </w:p>
        </w:tc>
        <w:tc>
          <w:tcPr>
            <w:tcW w:w="964"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c>
          <w:tcPr>
            <w:tcW w:w="59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2.50</w:t>
            </w:r>
          </w:p>
        </w:tc>
        <w:tc>
          <w:tcPr>
            <w:tcW w:w="1382"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1.51 to 4.10</w:t>
            </w:r>
          </w:p>
        </w:tc>
        <w:tc>
          <w:tcPr>
            <w:tcW w:w="964"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r>
      <w:tr>
        <w:trPr/>
        <w:tc>
          <w:tcPr>
            <w:tcW w:w="2425"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9</w:t>
            </w:r>
          </w:p>
        </w:tc>
        <w:tc>
          <w:tcPr>
            <w:tcW w:w="59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0.90</w:t>
            </w:r>
          </w:p>
        </w:tc>
        <w:tc>
          <w:tcPr>
            <w:tcW w:w="1382"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0.76 to 1.07</w:t>
            </w:r>
          </w:p>
        </w:tc>
        <w:tc>
          <w:tcPr>
            <w:tcW w:w="964"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0.24</w:t>
            </w:r>
          </w:p>
        </w:tc>
        <w:tc>
          <w:tcPr>
            <w:tcW w:w="59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2.63</w:t>
            </w:r>
          </w:p>
        </w:tc>
        <w:tc>
          <w:tcPr>
            <w:tcW w:w="1382"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1.55 to 4.41</w:t>
            </w:r>
          </w:p>
        </w:tc>
        <w:tc>
          <w:tcPr>
            <w:tcW w:w="964"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r>
      <w:tr>
        <w:trPr/>
        <w:tc>
          <w:tcPr>
            <w:tcW w:w="8299" w:type="dxa"/>
            <w:gridSpan w:val="7"/>
            <w:tcBorders>
              <w:left w:val="single" w:sz="4" w:space="0" w:color="000000"/>
              <w:bottom w:val="single" w:sz="4" w:space="0" w:color="000000"/>
              <w:right w:val="single" w:sz="4" w:space="0" w:color="000000"/>
            </w:tcBorders>
            <w:vAlign w:val="center"/>
          </w:tcPr>
          <w:p>
            <w:pPr>
              <w:pStyle w:val="Compact"/>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iCs w:val="false"/>
                <w:strike w:val="false"/>
                <w:dstrike w:val="false"/>
                <w:outline w:val="false"/>
                <w:shadow w:val="false"/>
                <w:color w:val="000000"/>
                <w:sz w:val="18"/>
                <w:szCs w:val="18"/>
                <w:u w:val="none"/>
                <w:vertAlign w:val="superscript"/>
              </w:rPr>
              <w:t>1</w:t>
            </w:r>
            <w:r>
              <w:rPr>
                <w:rFonts w:ascii="Ubuntu" w:hAnsi="Ubuntu"/>
                <w:b w:val="false"/>
                <w:bCs w:val="false"/>
                <w:i w:val="false"/>
                <w:iCs w:val="false"/>
                <w:strike w:val="false"/>
                <w:dstrike w:val="false"/>
                <w:outline w:val="false"/>
                <w:shadow w:val="false"/>
                <w:color w:val="000000"/>
                <w:sz w:val="18"/>
                <w:szCs w:val="18"/>
                <w:u w:val="none"/>
              </w:rPr>
              <w:t>IRR = Incidence Rate Ratio, CI = Confidence Interval</w:t>
            </w:r>
          </w:p>
        </w:tc>
      </w:tr>
    </w:tbl>
    <w:p>
      <w:pPr>
        <w:pStyle w:val="TextBody"/>
        <w:rPr/>
      </w:pPr>
      <w:r>
        <w:rPr/>
        <w:t>The comparison between the two models allow for the evaluation of the inclusion of time varying slopes in the risk estimates. All relative risk estimates are much higher in the full model, indicating some evidence for the hypothesis that different UPA followed different trajectories. This interpretation is also supported by observing that most trajectories in Figure 2 cross, indicating that an interaction between time and incidence exist across different regions. Finally if the full model is indeed a better approximation of the real incidence, it can be concluded that the simpler model overestimated the true incidence of accidents in UPA 10.</w:t>
      </w:r>
    </w:p>
    <w:p>
      <w:pPr>
        <w:pStyle w:val="TextBody"/>
        <w:rPr/>
      </w:pPr>
      <w:r>
        <w:rPr/>
        <w:t>Figure 3 shows the trajectories of how the expected incidence grew associated with the population across the study period. While UPA 10 had the lowest overall incidence it has seen the third top increase in incidence rate over time, behind UPA 2 and 6.</w:t>
      </w:r>
    </w:p>
    <w:p>
      <w:pPr>
        <w:pStyle w:val="TextBody"/>
        <w:rPr/>
      </w:pPr>
      <w:r>
        <w:rPr/>
        <w:t>At the end of the study period UPA2 had the largest incidence rate among the regions considered, followed closely by UPA 6. It should be noted that UPA 6 had the largest population count across the study period and, although UPA 2 showed a sharp population decrease it started the trajectory with one of the highest populations (Figure 2).</w:t>
      </w:r>
    </w:p>
    <w:p>
      <w:pPr>
        <w:pStyle w:val="TextBody"/>
        <w:rPr/>
      </w:pPr>
      <w:r>
        <w:rPr/>
        <w:t>On the other end of the risk spectrum lie UPA 1, 8 and 9. UPA 1 and 9 were among the lowest in population size, across the study period (Figure 2) and, although UPA 8 started with a median population size, compared to the other regions, it showed a sharp decrease at around the mid point.</w:t>
      </w:r>
    </w:p>
    <w:p>
      <w:pPr>
        <w:pStyle w:val="CaptionedFigure"/>
        <w:rPr/>
      </w:pPr>
      <w:r>
        <w:rPr/>
        <w:drawing>
          <wp:inline distT="0" distB="0" distL="0" distR="0">
            <wp:extent cx="4333240" cy="4333240"/>
            <wp:effectExtent l="0" t="0" r="0" b="0"/>
            <wp:docPr id="5" name="Image2" descr="Figure 3 Incidence trajectories of scorpion accidents in ten urban planning areas (UPA) in Americana/SP (1998-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Figure 3 Incidence trajectories of scorpion accidents in ten urban planning areas (UPA) in Americana/SP (1998-2008)."/>
                    <pic:cNvPicPr>
                      <a:picLocks noChangeAspect="1" noChangeArrowheads="1"/>
                    </pic:cNvPicPr>
                  </pic:nvPicPr>
                  <pic:blipFill>
                    <a:blip r:embed="rId4"/>
                    <a:stretch>
                      <a:fillRect/>
                    </a:stretch>
                  </pic:blipFill>
                  <pic:spPr bwMode="auto">
                    <a:xfrm>
                      <a:off x="0" y="0"/>
                      <a:ext cx="4333240" cy="4333240"/>
                    </a:xfrm>
                    <a:prstGeom prst="rect">
                      <a:avLst/>
                    </a:prstGeom>
                  </pic:spPr>
                </pic:pic>
              </a:graphicData>
            </a:graphic>
          </wp:inline>
        </w:drawing>
      </w:r>
    </w:p>
    <w:p>
      <w:pPr>
        <w:pStyle w:val="ImageCaption"/>
        <w:rPr/>
      </w:pPr>
      <w:r>
        <w:rPr>
          <w:b/>
          <w:bCs/>
        </w:rPr>
        <w:t>Figure 3</w:t>
      </w:r>
      <w:r>
        <w:rPr/>
        <w:t xml:space="preserve"> Incidence trajectories of scorpion accidents in ten urban planning areas (UPA) in Americana/SP (1998-2008).</w:t>
      </w:r>
    </w:p>
    <w:p>
      <w:pPr>
        <w:pStyle w:val="TextBody"/>
        <w:rPr/>
      </w:pPr>
      <w:r>
        <w:rPr/>
        <w:t xml:space="preserve">It can be recommended that the Municipal Secretary of Health </w:t>
      </w:r>
      <w:r>
        <w:rPr/>
        <w:t>of Americana/SP</w:t>
      </w:r>
      <w:r>
        <w:rPr/>
        <w:t xml:space="preserve"> and its vigilance program investigates possible reasons that would explain why UPA 2, 6 and 10 have such larger expected risk of scorpion accidents. When such information is available, a public health program focused on high risk areas can be developed to prevent these accidents.</w:t>
      </w:r>
      <w:bookmarkEnd w:id="22"/>
      <w:bookmarkEnd w:id="32"/>
      <w:r>
        <w:br w:type="page"/>
      </w:r>
    </w:p>
    <w:p>
      <w:pPr>
        <w:pStyle w:val="Heading1"/>
        <w:rPr/>
      </w:pPr>
      <w:bookmarkStart w:id="33" w:name="__RefHeading___Toc11328_4253236247"/>
      <w:bookmarkStart w:id="34" w:name="observations-and-limitations"/>
      <w:bookmarkEnd w:id="33"/>
      <w:r>
        <w:rPr/>
        <w:t>Observations and Limitations</w:t>
      </w:r>
    </w:p>
    <w:p>
      <w:pPr>
        <w:pStyle w:val="FirstParagraph"/>
        <w:rPr/>
      </w:pPr>
      <w:r>
        <w:rPr>
          <w:b/>
          <w:bCs/>
        </w:rPr>
        <w:t>Scorpion population</w:t>
      </w:r>
    </w:p>
    <w:p>
      <w:pPr>
        <w:pStyle w:val="TextBody"/>
        <w:rPr/>
      </w:pPr>
      <w:r>
        <w:rPr/>
        <w:t>One limitation of this study is that we the scorpion population size in each UPA is not known, but gathering this data poses other challenges that are often reported in the Ecology modeling literature. If scorpion population sizes were available across the study period, it could be used to control for the incidence rates measured in this ecological study. Scorpion specimens are routinely captured by the public health surveillance system, and we hypothesize that this measure could be used as a proxy for the scorpion population. We will consider updating the analysis with this metric in a future work, when more data becomes available.</w:t>
      </w:r>
    </w:p>
    <w:p>
      <w:pPr>
        <w:pStyle w:val="TextBody"/>
        <w:rPr/>
      </w:pPr>
      <w:r>
        <w:rPr>
          <w:b/>
          <w:bCs/>
        </w:rPr>
        <w:t>Population as a proxy for exposure</w:t>
      </w:r>
    </w:p>
    <w:p>
      <w:pPr>
        <w:pStyle w:val="TextBody"/>
        <w:rPr/>
      </w:pPr>
      <w:r>
        <w:rPr/>
        <w:t>It is difficult to assess the impact of such rapid movements in population size in the accident rates. If our assumption that the population is a proxy exposure for the risk of scorpion accidents, these rapid movements should be associated with the incidence risk. Other possible explanations include a threshold population size, beyond which the risk is substantially increased.</w:t>
      </w:r>
    </w:p>
    <w:p>
      <w:pPr>
        <w:pStyle w:val="TextBody"/>
        <w:rPr/>
      </w:pPr>
      <w:r>
        <w:rPr/>
        <w:t>Another metric that could be used as a proxy to exposure would be population density. We will consider updating the analysis with this metric in a future work, when more data becomes available.</w:t>
      </w:r>
    </w:p>
    <w:p>
      <w:pPr>
        <w:pStyle w:val="TextBody"/>
        <w:rPr/>
      </w:pPr>
      <w:r>
        <w:rPr>
          <w:b/>
          <w:bCs/>
        </w:rPr>
        <w:t>Ecological fallacy</w:t>
      </w:r>
    </w:p>
    <w:p>
      <w:pPr>
        <w:pStyle w:val="TextBody"/>
        <w:rPr/>
      </w:pPr>
      <w:bookmarkStart w:id="35" w:name="observations-and-limitations"/>
      <w:r>
        <w:rPr/>
        <w:t>While some UPA clearly show incidence rates much higher than others, this should not be interpreted that these UPA pose a higher risk of scorpion accidents than other for individuals. This is an ecological study and thus the data available are aggregate counts within each geographical region, so these results cannot be directly translated to a measure of individual risk of accident.</w:t>
      </w:r>
      <w:bookmarkEnd w:id="35"/>
    </w:p>
    <w:p>
      <w:pPr>
        <w:pStyle w:val="Heading1"/>
        <w:rPr/>
      </w:pPr>
      <w:bookmarkStart w:id="36" w:name="__RefHeading___Toc11330_4253236247"/>
      <w:bookmarkStart w:id="37" w:name="conclusions"/>
      <w:bookmarkEnd w:id="36"/>
      <w:r>
        <w:rPr/>
        <w:t>Conclusions</w:t>
      </w:r>
    </w:p>
    <w:p>
      <w:pPr>
        <w:pStyle w:val="FirstParagraph"/>
        <w:rPr/>
      </w:pPr>
      <w:bookmarkStart w:id="38" w:name="conclusions"/>
      <w:r>
        <w:rPr/>
        <w:t>This analysis shows that there is some evidence that the risk of scorpion accidents in different UPA have increased over time, and incidences increased at different rates. There is also limited evidence that population size in each region might play a role in the risk of accidents, where UPA that had larger populations at the beginning of the study period tended to have a larger expected risk of accidents overall.</w:t>
      </w:r>
      <w:bookmarkEnd w:id="38"/>
    </w:p>
    <w:p>
      <w:pPr>
        <w:pStyle w:val="Heading1"/>
        <w:rPr/>
      </w:pPr>
      <w:bookmarkStart w:id="39" w:name="__RefHeading___Toc11332_4253236247"/>
      <w:bookmarkStart w:id="40" w:name="references"/>
      <w:bookmarkEnd w:id="39"/>
      <w:r>
        <w:rPr/>
        <w:t>References</w:t>
      </w:r>
    </w:p>
    <w:p>
      <w:pPr>
        <w:pStyle w:val="Compact"/>
        <w:numPr>
          <w:ilvl w:val="0"/>
          <w:numId w:val="2"/>
        </w:numPr>
        <w:rPr/>
      </w:pPr>
      <w:r>
        <w:rPr>
          <w:b/>
          <w:bCs/>
        </w:rPr>
        <w:t>SAP-2021-007-JB-v01</w:t>
      </w:r>
      <w:r>
        <w:rPr/>
        <w:t xml:space="preserve"> – Analytical Plan for Incidence rates of scorpion accidents in Urban Planning Areas of Americana/SP in 1998–2018 </w:t>
      </w:r>
      <w:bookmarkEnd w:id="40"/>
    </w:p>
    <w:p>
      <w:pPr>
        <w:pStyle w:val="Heading1"/>
        <w:rPr/>
      </w:pPr>
      <w:bookmarkStart w:id="41" w:name="__RefHeading___Toc11334_4253236247"/>
      <w:bookmarkStart w:id="42" w:name="appendix"/>
      <w:bookmarkEnd w:id="41"/>
      <w:r>
        <w:rPr/>
        <w:t>Appendix</w:t>
      </w:r>
    </w:p>
    <w:p>
      <w:pPr>
        <w:pStyle w:val="Heading2"/>
        <w:rPr/>
      </w:pPr>
      <w:bookmarkStart w:id="43" w:name="__RefHeading___Toc11336_4253236247"/>
      <w:bookmarkStart w:id="44" w:name="exploratory-data-analysis"/>
      <w:bookmarkEnd w:id="43"/>
      <w:r>
        <w:rPr/>
        <w:t>Exploratory data analysis</w:t>
      </w:r>
    </w:p>
    <w:p>
      <w:pPr>
        <w:pStyle w:val="FirstParagraph"/>
        <w:rPr/>
      </w:pPr>
      <w:r>
        <w:rPr/>
        <w:t>Alternative version of figure 1.</w:t>
      </w:r>
    </w:p>
    <w:p>
      <w:pPr>
        <w:pStyle w:val="CaptionedFigure"/>
        <w:rPr/>
      </w:pPr>
      <w:r>
        <w:rPr/>
        <w:drawing>
          <wp:inline distT="0" distB="0" distL="0" distR="0">
            <wp:extent cx="5777230" cy="5777230"/>
            <wp:effectExtent l="0" t="0" r="0" b="0"/>
            <wp:docPr id="6" name="Image3" descr="Figure A1 Distribution of characteristics in ten urban planning areas (UPA) in Americana/SP (1998-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Figure A1 Distribution of characteristics in ten urban planning areas (UPA) in Americana/SP (1998-2008)."/>
                    <pic:cNvPicPr>
                      <a:picLocks noChangeAspect="1" noChangeArrowheads="1"/>
                    </pic:cNvPicPr>
                  </pic:nvPicPr>
                  <pic:blipFill>
                    <a:blip r:embed="rId5"/>
                    <a:stretch>
                      <a:fillRect/>
                    </a:stretch>
                  </pic:blipFill>
                  <pic:spPr bwMode="auto">
                    <a:xfrm>
                      <a:off x="0" y="0"/>
                      <a:ext cx="5777230" cy="5777230"/>
                    </a:xfrm>
                    <a:prstGeom prst="rect">
                      <a:avLst/>
                    </a:prstGeom>
                  </pic:spPr>
                </pic:pic>
              </a:graphicData>
            </a:graphic>
          </wp:inline>
        </w:drawing>
      </w:r>
    </w:p>
    <w:p>
      <w:pPr>
        <w:pStyle w:val="ImageCaption"/>
        <w:rPr/>
      </w:pPr>
      <w:r>
        <w:rPr>
          <w:b/>
          <w:bCs/>
        </w:rPr>
        <w:t>Figure A1</w:t>
      </w:r>
      <w:r>
        <w:rPr/>
        <w:t xml:space="preserve"> Distribution of characteristics in ten urban planning areas (UPA) in Americana/SP (1998-2008).</w:t>
      </w:r>
      <w:bookmarkEnd w:id="44"/>
    </w:p>
    <w:p>
      <w:pPr>
        <w:pStyle w:val="Heading2"/>
        <w:rPr/>
      </w:pPr>
      <w:bookmarkStart w:id="45" w:name="__RefHeading___Toc11338_4253236247"/>
      <w:bookmarkStart w:id="46" w:name="modeling-procedures"/>
      <w:bookmarkEnd w:id="45"/>
      <w:bookmarkEnd w:id="46"/>
      <w:r>
        <w:rPr/>
        <w:t>Modeling procedures</w:t>
      </w:r>
    </w:p>
    <w:p>
      <w:pPr>
        <w:pStyle w:val="FirstParagraph"/>
        <w:rPr/>
      </w:pPr>
      <w:r>
        <w:rPr/>
        <w:t>The population of the UPA was considered as a proxy for the exposure to accidents. This was incorporated in the model as the offset to compute the incidence rates and allowed to vary over time. This means that the population is not considered as an explanatory variable in the regression model, but as a fixed coefficient in the incidence rates ratios. Variation in population over the years are effectively only considered for the calculation of incidence rates.</w:t>
      </w:r>
    </w:p>
    <w:p>
      <w:pPr>
        <w:pStyle w:val="TextBody"/>
        <w:rPr/>
      </w:pPr>
      <w:r>
        <w:rPr/>
        <w:t>Table A1 shows an alternative display of Table 2, with all regressors included in the model.</w:t>
      </w:r>
    </w:p>
    <w:p>
      <w:pPr>
        <w:pStyle w:val="TableCaption"/>
        <w:rPr/>
      </w:pPr>
      <w:r>
        <w:rPr>
          <w:b/>
          <w:bCs/>
        </w:rPr>
        <w:t>Table A1</w:t>
      </w:r>
      <w:r>
        <w:rPr/>
        <w:t xml:space="preserve"> Alternative version of incidence rates of scorpion accidents in ten urban planning areas (UPA) in Americana/SP (1998-2008).</w:t>
      </w:r>
    </w:p>
    <w:tbl>
      <w:tblPr>
        <w:tblW w:w="9466" w:type="dxa"/>
        <w:jc w:val="left"/>
        <w:tblInd w:w="25" w:type="dxa"/>
        <w:tblLayout w:type="fixed"/>
        <w:tblCellMar>
          <w:top w:w="55" w:type="dxa"/>
          <w:left w:w="55" w:type="dxa"/>
          <w:bottom w:w="55" w:type="dxa"/>
          <w:right w:w="55" w:type="dxa"/>
        </w:tblCellMar>
      </w:tblPr>
      <w:tblGrid>
        <w:gridCol w:w="3079"/>
        <w:gridCol w:w="611"/>
        <w:gridCol w:w="1368"/>
        <w:gridCol w:w="1228"/>
        <w:gridCol w:w="846"/>
        <w:gridCol w:w="1369"/>
        <w:gridCol w:w="965"/>
      </w:tblGrid>
      <w:tr>
        <w:trPr/>
        <w:tc>
          <w:tcPr>
            <w:tcW w:w="3079" w:type="dxa"/>
            <w:tcBorders>
              <w:top w:val="single" w:sz="4" w:space="0" w:color="000000"/>
              <w:left w:val="single" w:sz="4" w:space="0" w:color="000000"/>
              <w:bottom w:val="single" w:sz="4" w:space="0" w:color="000000"/>
            </w:tcBorders>
            <w:shd w:color="auto" w:fill="B2B2B2"/>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Characteristic</w:t>
            </w:r>
          </w:p>
        </w:tc>
        <w:tc>
          <w:tcPr>
            <w:tcW w:w="611" w:type="dxa"/>
            <w:tcBorders>
              <w:top w:val="single" w:sz="4" w:space="0" w:color="000000"/>
              <w:left w:val="single" w:sz="4" w:space="0" w:color="000000"/>
              <w:bottom w:val="single" w:sz="4" w:space="0" w:color="000000"/>
            </w:tcBorders>
            <w:shd w:color="auto" w:fill="B2B2B2"/>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18"/>
                <w:szCs w:val="18"/>
                <w:u w:val="none"/>
              </w:rPr>
              <w:t>IRR</w:t>
            </w:r>
            <w:r>
              <w:rPr>
                <w:rFonts w:ascii="Ubuntu" w:hAnsi="Ubuntu"/>
                <w:b/>
                <w:bCs/>
                <w:i/>
                <w:iCs w:val="false"/>
                <w:strike w:val="false"/>
                <w:dstrike w:val="false"/>
                <w:outline w:val="false"/>
                <w:shadow w:val="false"/>
                <w:color w:val="000000"/>
                <w:sz w:val="18"/>
                <w:szCs w:val="18"/>
                <w:u w:val="none"/>
                <w:vertAlign w:val="superscript"/>
              </w:rPr>
              <w:t>1</w:t>
            </w:r>
          </w:p>
        </w:tc>
        <w:tc>
          <w:tcPr>
            <w:tcW w:w="1368" w:type="dxa"/>
            <w:tcBorders>
              <w:top w:val="single" w:sz="4" w:space="0" w:color="000000"/>
              <w:left w:val="single" w:sz="4" w:space="0" w:color="000000"/>
              <w:bottom w:val="single" w:sz="4" w:space="0" w:color="000000"/>
            </w:tcBorders>
            <w:shd w:color="auto" w:fill="B2B2B2"/>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18"/>
                <w:szCs w:val="18"/>
                <w:u w:val="none"/>
              </w:rPr>
              <w:t>95% CI</w:t>
            </w:r>
            <w:r>
              <w:rPr>
                <w:rFonts w:ascii="Ubuntu" w:hAnsi="Ubuntu"/>
                <w:b/>
                <w:bCs/>
                <w:i/>
                <w:iCs w:val="false"/>
                <w:strike w:val="false"/>
                <w:dstrike w:val="false"/>
                <w:outline w:val="false"/>
                <w:shadow w:val="false"/>
                <w:color w:val="000000"/>
                <w:sz w:val="18"/>
                <w:szCs w:val="18"/>
                <w:u w:val="none"/>
                <w:vertAlign w:val="superscript"/>
              </w:rPr>
              <w:t>1</w:t>
            </w:r>
          </w:p>
        </w:tc>
        <w:tc>
          <w:tcPr>
            <w:tcW w:w="1228" w:type="dxa"/>
            <w:tcBorders>
              <w:top w:val="single" w:sz="4" w:space="0" w:color="000000"/>
              <w:left w:val="single" w:sz="4" w:space="0" w:color="000000"/>
              <w:bottom w:val="single" w:sz="4" w:space="0" w:color="000000"/>
            </w:tcBorders>
            <w:shd w:color="auto" w:fill="B2B2B2"/>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p-value</w:t>
            </w:r>
          </w:p>
        </w:tc>
        <w:tc>
          <w:tcPr>
            <w:tcW w:w="846" w:type="dxa"/>
            <w:tcBorders>
              <w:top w:val="single" w:sz="4" w:space="0" w:color="000000"/>
              <w:left w:val="single" w:sz="4" w:space="0" w:color="000000"/>
              <w:bottom w:val="single" w:sz="4" w:space="0" w:color="000000"/>
            </w:tcBorders>
            <w:shd w:color="auto" w:fill="B2B2B2"/>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18"/>
                <w:szCs w:val="18"/>
                <w:u w:val="none"/>
              </w:rPr>
              <w:t>IRR</w:t>
            </w:r>
            <w:r>
              <w:rPr>
                <w:rFonts w:ascii="Ubuntu" w:hAnsi="Ubuntu"/>
                <w:b/>
                <w:bCs/>
                <w:i/>
                <w:iCs w:val="false"/>
                <w:strike w:val="false"/>
                <w:dstrike w:val="false"/>
                <w:outline w:val="false"/>
                <w:shadow w:val="false"/>
                <w:color w:val="000000"/>
                <w:sz w:val="18"/>
                <w:szCs w:val="18"/>
                <w:u w:val="none"/>
                <w:vertAlign w:val="superscript"/>
              </w:rPr>
              <w:t>1</w:t>
            </w:r>
          </w:p>
        </w:tc>
        <w:tc>
          <w:tcPr>
            <w:tcW w:w="1369" w:type="dxa"/>
            <w:tcBorders>
              <w:top w:val="single" w:sz="4" w:space="0" w:color="000000"/>
              <w:left w:val="single" w:sz="4" w:space="0" w:color="000000"/>
              <w:bottom w:val="single" w:sz="4" w:space="0" w:color="000000"/>
            </w:tcBorders>
            <w:shd w:color="auto" w:fill="B2B2B2"/>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18"/>
                <w:szCs w:val="18"/>
                <w:u w:val="none"/>
              </w:rPr>
              <w:t>95% CI</w:t>
            </w:r>
            <w:r>
              <w:rPr>
                <w:rFonts w:ascii="Ubuntu" w:hAnsi="Ubuntu"/>
                <w:b/>
                <w:bCs/>
                <w:i/>
                <w:iCs w:val="false"/>
                <w:strike w:val="false"/>
                <w:dstrike w:val="false"/>
                <w:outline w:val="false"/>
                <w:shadow w:val="false"/>
                <w:color w:val="000000"/>
                <w:sz w:val="18"/>
                <w:szCs w:val="18"/>
                <w:u w:val="none"/>
                <w:vertAlign w:val="superscript"/>
              </w:rPr>
              <w:t>1</w:t>
            </w:r>
          </w:p>
        </w:tc>
        <w:tc>
          <w:tcPr>
            <w:tcW w:w="965" w:type="dxa"/>
            <w:tcBorders>
              <w:top w:val="single" w:sz="4" w:space="0" w:color="000000"/>
              <w:left w:val="single" w:sz="4" w:space="0" w:color="000000"/>
              <w:bottom w:val="single" w:sz="4" w:space="0" w:color="000000"/>
              <w:right w:val="single" w:sz="4" w:space="0" w:color="000000"/>
            </w:tcBorders>
            <w:shd w:color="auto" w:fill="B2B2B2"/>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p-value</w:t>
            </w:r>
          </w:p>
        </w:tc>
      </w:tr>
      <w:tr>
        <w:trPr/>
        <w:tc>
          <w:tcPr>
            <w:tcW w:w="307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3207" w:type="dxa"/>
            <w:gridSpan w:val="3"/>
            <w:tcBorders>
              <w:left w:val="single" w:sz="4" w:space="0" w:color="000000"/>
              <w:bottom w:val="single" w:sz="4" w:space="0" w:color="000000"/>
            </w:tcBorders>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Crude estimate</w:t>
            </w:r>
          </w:p>
        </w:tc>
        <w:tc>
          <w:tcPr>
            <w:tcW w:w="3180" w:type="dxa"/>
            <w:gridSpan w:val="3"/>
            <w:tcBorders>
              <w:left w:val="single" w:sz="4" w:space="0" w:color="000000"/>
              <w:bottom w:val="single" w:sz="4" w:space="0" w:color="000000"/>
              <w:right w:val="single" w:sz="4" w:space="0" w:color="000000"/>
            </w:tcBorders>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Fully adjusted</w:t>
            </w:r>
          </w:p>
        </w:tc>
      </w:tr>
      <w:tr>
        <w:trPr/>
        <w:tc>
          <w:tcPr>
            <w:tcW w:w="3079" w:type="dxa"/>
            <w:tcBorders>
              <w:left w:val="single" w:sz="4" w:space="0" w:color="000000"/>
              <w:bottom w:val="single" w:sz="4" w:space="0" w:color="000000"/>
            </w:tcBorders>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Urban Planning Area</w:t>
            </w:r>
          </w:p>
        </w:tc>
        <w:tc>
          <w:tcPr>
            <w:tcW w:w="6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6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22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846"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6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965"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07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10</w:t>
            </w:r>
          </w:p>
        </w:tc>
        <w:tc>
          <w:tcPr>
            <w:tcW w:w="6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1.00</w:t>
            </w:r>
          </w:p>
        </w:tc>
        <w:tc>
          <w:tcPr>
            <w:tcW w:w="136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w:t>
            </w:r>
          </w:p>
        </w:tc>
        <w:tc>
          <w:tcPr>
            <w:tcW w:w="122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846"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1.00</w:t>
            </w:r>
          </w:p>
        </w:tc>
        <w:tc>
          <w:tcPr>
            <w:tcW w:w="136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w:t>
            </w:r>
          </w:p>
        </w:tc>
        <w:tc>
          <w:tcPr>
            <w:tcW w:w="965"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07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w:t>
            </w:r>
          </w:p>
        </w:tc>
        <w:tc>
          <w:tcPr>
            <w:tcW w:w="6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1.21</w:t>
            </w:r>
          </w:p>
        </w:tc>
        <w:tc>
          <w:tcPr>
            <w:tcW w:w="136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0.98 to 1.48</w:t>
            </w:r>
          </w:p>
        </w:tc>
        <w:tc>
          <w:tcPr>
            <w:tcW w:w="122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0.070</w:t>
            </w:r>
          </w:p>
        </w:tc>
        <w:tc>
          <w:tcPr>
            <w:tcW w:w="846"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5.14</w:t>
            </w:r>
          </w:p>
        </w:tc>
        <w:tc>
          <w:tcPr>
            <w:tcW w:w="136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2.87 to 9.04</w:t>
            </w:r>
          </w:p>
        </w:tc>
        <w:tc>
          <w:tcPr>
            <w:tcW w:w="965"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r>
      <w:tr>
        <w:trPr/>
        <w:tc>
          <w:tcPr>
            <w:tcW w:w="307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w:t>
            </w:r>
          </w:p>
        </w:tc>
        <w:tc>
          <w:tcPr>
            <w:tcW w:w="6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1.46</w:t>
            </w:r>
          </w:p>
        </w:tc>
        <w:tc>
          <w:tcPr>
            <w:tcW w:w="136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1.29 to 1.65</w:t>
            </w:r>
          </w:p>
        </w:tc>
        <w:tc>
          <w:tcPr>
            <w:tcW w:w="122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c>
          <w:tcPr>
            <w:tcW w:w="846"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1.71</w:t>
            </w:r>
          </w:p>
        </w:tc>
        <w:tc>
          <w:tcPr>
            <w:tcW w:w="136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1.11 to 2.65</w:t>
            </w:r>
          </w:p>
        </w:tc>
        <w:tc>
          <w:tcPr>
            <w:tcW w:w="965"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0.016</w:t>
            </w:r>
          </w:p>
        </w:tc>
      </w:tr>
      <w:tr>
        <w:trPr/>
        <w:tc>
          <w:tcPr>
            <w:tcW w:w="307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w:t>
            </w:r>
          </w:p>
        </w:tc>
        <w:tc>
          <w:tcPr>
            <w:tcW w:w="6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2.06</w:t>
            </w:r>
          </w:p>
        </w:tc>
        <w:tc>
          <w:tcPr>
            <w:tcW w:w="136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1.79 to 2.37</w:t>
            </w:r>
          </w:p>
        </w:tc>
        <w:tc>
          <w:tcPr>
            <w:tcW w:w="122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c>
          <w:tcPr>
            <w:tcW w:w="846"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2.61</w:t>
            </w:r>
          </w:p>
        </w:tc>
        <w:tc>
          <w:tcPr>
            <w:tcW w:w="136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1.57 to 4.32</w:t>
            </w:r>
          </w:p>
        </w:tc>
        <w:tc>
          <w:tcPr>
            <w:tcW w:w="965"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r>
      <w:tr>
        <w:trPr/>
        <w:tc>
          <w:tcPr>
            <w:tcW w:w="307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w:t>
            </w:r>
          </w:p>
        </w:tc>
        <w:tc>
          <w:tcPr>
            <w:tcW w:w="6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1.49</w:t>
            </w:r>
          </w:p>
        </w:tc>
        <w:tc>
          <w:tcPr>
            <w:tcW w:w="136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1.32 to 1.68</w:t>
            </w:r>
          </w:p>
        </w:tc>
        <w:tc>
          <w:tcPr>
            <w:tcW w:w="122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c>
          <w:tcPr>
            <w:tcW w:w="846"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9.39</w:t>
            </w:r>
          </w:p>
        </w:tc>
        <w:tc>
          <w:tcPr>
            <w:tcW w:w="136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6.39 to 14.0</w:t>
            </w:r>
          </w:p>
        </w:tc>
        <w:tc>
          <w:tcPr>
            <w:tcW w:w="965"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r>
      <w:tr>
        <w:trPr/>
        <w:tc>
          <w:tcPr>
            <w:tcW w:w="307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w:t>
            </w:r>
          </w:p>
        </w:tc>
        <w:tc>
          <w:tcPr>
            <w:tcW w:w="6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1.87</w:t>
            </w:r>
          </w:p>
        </w:tc>
        <w:tc>
          <w:tcPr>
            <w:tcW w:w="136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1.65 to 2.13</w:t>
            </w:r>
          </w:p>
        </w:tc>
        <w:tc>
          <w:tcPr>
            <w:tcW w:w="122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c>
          <w:tcPr>
            <w:tcW w:w="846"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7.78</w:t>
            </w:r>
          </w:p>
        </w:tc>
        <w:tc>
          <w:tcPr>
            <w:tcW w:w="136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5.21 to 11.7</w:t>
            </w:r>
          </w:p>
        </w:tc>
        <w:tc>
          <w:tcPr>
            <w:tcW w:w="965"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r>
      <w:tr>
        <w:trPr/>
        <w:tc>
          <w:tcPr>
            <w:tcW w:w="307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w:t>
            </w:r>
          </w:p>
        </w:tc>
        <w:tc>
          <w:tcPr>
            <w:tcW w:w="6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1.29</w:t>
            </w:r>
          </w:p>
        </w:tc>
        <w:tc>
          <w:tcPr>
            <w:tcW w:w="136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1.14 to 1.45</w:t>
            </w:r>
          </w:p>
        </w:tc>
        <w:tc>
          <w:tcPr>
            <w:tcW w:w="122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c>
          <w:tcPr>
            <w:tcW w:w="846"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3.94</w:t>
            </w:r>
          </w:p>
        </w:tc>
        <w:tc>
          <w:tcPr>
            <w:tcW w:w="136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2.66 to 5.92</w:t>
            </w:r>
          </w:p>
        </w:tc>
        <w:tc>
          <w:tcPr>
            <w:tcW w:w="965"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r>
      <w:tr>
        <w:trPr/>
        <w:tc>
          <w:tcPr>
            <w:tcW w:w="307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7</w:t>
            </w:r>
          </w:p>
        </w:tc>
        <w:tc>
          <w:tcPr>
            <w:tcW w:w="6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1.57</w:t>
            </w:r>
          </w:p>
        </w:tc>
        <w:tc>
          <w:tcPr>
            <w:tcW w:w="136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1.37 to 1.79</w:t>
            </w:r>
          </w:p>
        </w:tc>
        <w:tc>
          <w:tcPr>
            <w:tcW w:w="122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c>
          <w:tcPr>
            <w:tcW w:w="846"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8.50</w:t>
            </w:r>
          </w:p>
        </w:tc>
        <w:tc>
          <w:tcPr>
            <w:tcW w:w="136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5.66 to 12.9</w:t>
            </w:r>
          </w:p>
        </w:tc>
        <w:tc>
          <w:tcPr>
            <w:tcW w:w="965"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r>
      <w:tr>
        <w:trPr/>
        <w:tc>
          <w:tcPr>
            <w:tcW w:w="307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8</w:t>
            </w:r>
          </w:p>
        </w:tc>
        <w:tc>
          <w:tcPr>
            <w:tcW w:w="6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0.54</w:t>
            </w:r>
          </w:p>
        </w:tc>
        <w:tc>
          <w:tcPr>
            <w:tcW w:w="136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0.46 to 0.65</w:t>
            </w:r>
          </w:p>
        </w:tc>
        <w:tc>
          <w:tcPr>
            <w:tcW w:w="122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c>
          <w:tcPr>
            <w:tcW w:w="846"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2.50</w:t>
            </w:r>
          </w:p>
        </w:tc>
        <w:tc>
          <w:tcPr>
            <w:tcW w:w="136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1.51 to 4.10</w:t>
            </w:r>
          </w:p>
        </w:tc>
        <w:tc>
          <w:tcPr>
            <w:tcW w:w="965"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r>
      <w:tr>
        <w:trPr/>
        <w:tc>
          <w:tcPr>
            <w:tcW w:w="307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9</w:t>
            </w:r>
          </w:p>
        </w:tc>
        <w:tc>
          <w:tcPr>
            <w:tcW w:w="6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0.90</w:t>
            </w:r>
          </w:p>
        </w:tc>
        <w:tc>
          <w:tcPr>
            <w:tcW w:w="136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0.76 to 1.07</w:t>
            </w:r>
          </w:p>
        </w:tc>
        <w:tc>
          <w:tcPr>
            <w:tcW w:w="122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0.24</w:t>
            </w:r>
          </w:p>
        </w:tc>
        <w:tc>
          <w:tcPr>
            <w:tcW w:w="846"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2.63</w:t>
            </w:r>
          </w:p>
        </w:tc>
        <w:tc>
          <w:tcPr>
            <w:tcW w:w="136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1.55 to 4.41</w:t>
            </w:r>
          </w:p>
        </w:tc>
        <w:tc>
          <w:tcPr>
            <w:tcW w:w="965"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r>
      <w:tr>
        <w:trPr/>
        <w:tc>
          <w:tcPr>
            <w:tcW w:w="3079" w:type="dxa"/>
            <w:tcBorders>
              <w:left w:val="single" w:sz="4" w:space="0" w:color="000000"/>
              <w:bottom w:val="single" w:sz="4" w:space="0" w:color="000000"/>
            </w:tcBorders>
            <w:vAlign w:val="center"/>
          </w:tcPr>
          <w:p>
            <w:pPr>
              <w:pStyle w:val="Compact"/>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Year</w:t>
            </w:r>
          </w:p>
        </w:tc>
        <w:tc>
          <w:tcPr>
            <w:tcW w:w="6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6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22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846"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1.17</w:t>
            </w:r>
          </w:p>
        </w:tc>
        <w:tc>
          <w:tcPr>
            <w:tcW w:w="136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1.14 to 1.19</w:t>
            </w:r>
          </w:p>
        </w:tc>
        <w:tc>
          <w:tcPr>
            <w:tcW w:w="965"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r>
      <w:tr>
        <w:trPr/>
        <w:tc>
          <w:tcPr>
            <w:tcW w:w="307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18"/>
                <w:szCs w:val="18"/>
                <w:u w:val="none"/>
              </w:rPr>
              <w:t>Urban Planning Area</w:t>
            </w:r>
            <w:r>
              <w:rPr>
                <w:rFonts w:ascii="Ubuntu" w:hAnsi="Ubuntu"/>
                <w:b w:val="false"/>
                <w:bCs w:val="false"/>
                <w:i w:val="false"/>
                <w:iCs w:val="false"/>
                <w:strike w:val="false"/>
                <w:dstrike w:val="false"/>
                <w:outline w:val="false"/>
                <w:shadow w:val="false"/>
                <w:color w:val="000000"/>
                <w:sz w:val="18"/>
                <w:szCs w:val="18"/>
                <w:u w:val="none"/>
              </w:rPr>
              <w:t xml:space="preserve"> * </w:t>
            </w:r>
            <w:r>
              <w:rPr>
                <w:rFonts w:ascii="Ubuntu" w:hAnsi="Ubuntu"/>
                <w:b/>
                <w:bCs/>
                <w:i w:val="false"/>
                <w:iCs w:val="false"/>
                <w:strike w:val="false"/>
                <w:dstrike w:val="false"/>
                <w:outline w:val="false"/>
                <w:shadow w:val="false"/>
                <w:color w:val="000000"/>
                <w:sz w:val="18"/>
                <w:szCs w:val="18"/>
                <w:u w:val="none"/>
              </w:rPr>
              <w:t>Year</w:t>
            </w:r>
          </w:p>
        </w:tc>
        <w:tc>
          <w:tcPr>
            <w:tcW w:w="6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6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22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846"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6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965"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07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 * Year</w:t>
            </w:r>
          </w:p>
        </w:tc>
        <w:tc>
          <w:tcPr>
            <w:tcW w:w="6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6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22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846"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0.91</w:t>
            </w:r>
          </w:p>
        </w:tc>
        <w:tc>
          <w:tcPr>
            <w:tcW w:w="136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0.88 to 0.95</w:t>
            </w:r>
          </w:p>
        </w:tc>
        <w:tc>
          <w:tcPr>
            <w:tcW w:w="965"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r>
      <w:tr>
        <w:trPr/>
        <w:tc>
          <w:tcPr>
            <w:tcW w:w="307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 * Year</w:t>
            </w:r>
          </w:p>
        </w:tc>
        <w:tc>
          <w:tcPr>
            <w:tcW w:w="6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6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22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846"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0.99</w:t>
            </w:r>
          </w:p>
        </w:tc>
        <w:tc>
          <w:tcPr>
            <w:tcW w:w="136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0.97 to 1.02</w:t>
            </w:r>
          </w:p>
        </w:tc>
        <w:tc>
          <w:tcPr>
            <w:tcW w:w="965"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0.63</w:t>
            </w:r>
          </w:p>
        </w:tc>
      </w:tr>
      <w:tr>
        <w:trPr/>
        <w:tc>
          <w:tcPr>
            <w:tcW w:w="307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 * Year</w:t>
            </w:r>
          </w:p>
        </w:tc>
        <w:tc>
          <w:tcPr>
            <w:tcW w:w="6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6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22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846"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0.98</w:t>
            </w:r>
          </w:p>
        </w:tc>
        <w:tc>
          <w:tcPr>
            <w:tcW w:w="136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0.95 to 1.01</w:t>
            </w:r>
          </w:p>
        </w:tc>
        <w:tc>
          <w:tcPr>
            <w:tcW w:w="965"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0.27</w:t>
            </w:r>
          </w:p>
        </w:tc>
      </w:tr>
      <w:tr>
        <w:trPr/>
        <w:tc>
          <w:tcPr>
            <w:tcW w:w="307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 * Year</w:t>
            </w:r>
          </w:p>
        </w:tc>
        <w:tc>
          <w:tcPr>
            <w:tcW w:w="6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6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22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846"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0.88</w:t>
            </w:r>
          </w:p>
        </w:tc>
        <w:tc>
          <w:tcPr>
            <w:tcW w:w="136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0.86 to 0.90</w:t>
            </w:r>
          </w:p>
        </w:tc>
        <w:tc>
          <w:tcPr>
            <w:tcW w:w="965"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r>
      <w:tr>
        <w:trPr/>
        <w:tc>
          <w:tcPr>
            <w:tcW w:w="307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 * Year</w:t>
            </w:r>
          </w:p>
        </w:tc>
        <w:tc>
          <w:tcPr>
            <w:tcW w:w="6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6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22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846"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0.91</w:t>
            </w:r>
          </w:p>
        </w:tc>
        <w:tc>
          <w:tcPr>
            <w:tcW w:w="136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0.89 to 0.93</w:t>
            </w:r>
          </w:p>
        </w:tc>
        <w:tc>
          <w:tcPr>
            <w:tcW w:w="965"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r>
      <w:tr>
        <w:trPr/>
        <w:tc>
          <w:tcPr>
            <w:tcW w:w="307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 * Year</w:t>
            </w:r>
          </w:p>
        </w:tc>
        <w:tc>
          <w:tcPr>
            <w:tcW w:w="6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6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22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846"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0.93</w:t>
            </w:r>
          </w:p>
        </w:tc>
        <w:tc>
          <w:tcPr>
            <w:tcW w:w="136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0.91 to 0.95</w:t>
            </w:r>
          </w:p>
        </w:tc>
        <w:tc>
          <w:tcPr>
            <w:tcW w:w="965"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r>
      <w:tr>
        <w:trPr/>
        <w:tc>
          <w:tcPr>
            <w:tcW w:w="307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7 * Year</w:t>
            </w:r>
          </w:p>
        </w:tc>
        <w:tc>
          <w:tcPr>
            <w:tcW w:w="6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6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22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846"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0.89</w:t>
            </w:r>
          </w:p>
        </w:tc>
        <w:tc>
          <w:tcPr>
            <w:tcW w:w="136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0.87 to 0.92</w:t>
            </w:r>
          </w:p>
        </w:tc>
        <w:tc>
          <w:tcPr>
            <w:tcW w:w="965"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r>
      <w:tr>
        <w:trPr/>
        <w:tc>
          <w:tcPr>
            <w:tcW w:w="307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8 * Year</w:t>
            </w:r>
          </w:p>
        </w:tc>
        <w:tc>
          <w:tcPr>
            <w:tcW w:w="6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6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22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846"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0.91</w:t>
            </w:r>
          </w:p>
        </w:tc>
        <w:tc>
          <w:tcPr>
            <w:tcW w:w="136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0.88 to 0.94</w:t>
            </w:r>
          </w:p>
        </w:tc>
        <w:tc>
          <w:tcPr>
            <w:tcW w:w="965"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r>
      <w:tr>
        <w:trPr/>
        <w:tc>
          <w:tcPr>
            <w:tcW w:w="307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9 * Year</w:t>
            </w:r>
          </w:p>
        </w:tc>
        <w:tc>
          <w:tcPr>
            <w:tcW w:w="611"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36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228"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846"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0.94</w:t>
            </w:r>
          </w:p>
        </w:tc>
        <w:tc>
          <w:tcPr>
            <w:tcW w:w="1369" w:type="dxa"/>
            <w:tcBorders>
              <w:left w:val="single" w:sz="4" w:space="0" w:color="000000"/>
              <w:bottom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0.91 to 0.97</w:t>
            </w:r>
          </w:p>
        </w:tc>
        <w:tc>
          <w:tcPr>
            <w:tcW w:w="965" w:type="dxa"/>
            <w:tcBorders>
              <w:left w:val="single" w:sz="4" w:space="0" w:color="000000"/>
              <w:bottom w:val="single" w:sz="4" w:space="0" w:color="000000"/>
              <w:right w:val="single" w:sz="4" w:space="0" w:color="000000"/>
            </w:tcBorders>
            <w:vAlign w:val="center"/>
          </w:tcPr>
          <w:p>
            <w:pPr>
              <w:pStyle w:val="Compact"/>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&lt;0.001</w:t>
            </w:r>
          </w:p>
        </w:tc>
      </w:tr>
      <w:tr>
        <w:trPr/>
        <w:tc>
          <w:tcPr>
            <w:tcW w:w="9466" w:type="dxa"/>
            <w:gridSpan w:val="7"/>
            <w:tcBorders>
              <w:left w:val="single" w:sz="4" w:space="0" w:color="000000"/>
              <w:bottom w:val="single" w:sz="4" w:space="0" w:color="000000"/>
              <w:right w:val="single" w:sz="4" w:space="0" w:color="000000"/>
            </w:tcBorders>
            <w:vAlign w:val="center"/>
          </w:tcPr>
          <w:p>
            <w:pPr>
              <w:pStyle w:val="Compact"/>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iCs w:val="false"/>
                <w:strike w:val="false"/>
                <w:dstrike w:val="false"/>
                <w:outline w:val="false"/>
                <w:shadow w:val="false"/>
                <w:color w:val="000000"/>
                <w:sz w:val="18"/>
                <w:szCs w:val="18"/>
                <w:u w:val="none"/>
                <w:vertAlign w:val="superscript"/>
              </w:rPr>
              <w:t>1</w:t>
            </w:r>
            <w:r>
              <w:rPr>
                <w:rFonts w:ascii="Ubuntu" w:hAnsi="Ubuntu"/>
                <w:b w:val="false"/>
                <w:bCs w:val="false"/>
                <w:i w:val="false"/>
                <w:iCs w:val="false"/>
                <w:strike w:val="false"/>
                <w:dstrike w:val="false"/>
                <w:outline w:val="false"/>
                <w:shadow w:val="false"/>
                <w:color w:val="000000"/>
                <w:sz w:val="18"/>
                <w:szCs w:val="18"/>
                <w:u w:val="none"/>
              </w:rPr>
              <w:t>IRR = Incidence Rate Ratio, CI = Confidence Interval</w:t>
            </w:r>
          </w:p>
        </w:tc>
      </w:tr>
    </w:tbl>
    <w:p>
      <w:pPr>
        <w:pStyle w:val="Heading2"/>
        <w:rPr/>
      </w:pPr>
      <w:bookmarkStart w:id="47" w:name="modeling-procedures"/>
      <w:bookmarkStart w:id="48" w:name="__RefHeading___Toc11340_4253236247"/>
      <w:bookmarkEnd w:id="47"/>
      <w:bookmarkEnd w:id="48"/>
      <w:r>
        <w:rPr/>
        <w:t>Availability</w:t>
      </w:r>
    </w:p>
    <w:p>
      <w:pPr>
        <w:pStyle w:val="FirstParagraph"/>
        <w:rPr/>
      </w:pPr>
      <w:r>
        <w:rPr/>
        <w:t>Both this document and the corresponding analytical plan (</w:t>
      </w:r>
      <w:r>
        <w:rPr>
          <w:b/>
          <w:bCs/>
        </w:rPr>
        <w:t>SAP-2021-007-JB-v01</w:t>
      </w:r>
      <w:r>
        <w:rPr/>
        <w:t>) can be downloaded in the following address:</w:t>
      </w:r>
    </w:p>
    <w:p>
      <w:pPr>
        <w:pStyle w:val="TextBody"/>
        <w:rPr/>
      </w:pPr>
      <w:hyperlink r:id="rId6">
        <w:r>
          <w:rPr>
            <w:rStyle w:val="InternetLink"/>
          </w:rPr>
          <w:t>https://philsf-biostat.github.io/SAR-2021-007-JB/</w:t>
        </w:r>
      </w:hyperlink>
    </w:p>
    <w:p>
      <w:pPr>
        <w:pStyle w:val="Heading2"/>
        <w:rPr/>
      </w:pPr>
      <w:bookmarkStart w:id="49" w:name="__RefHeading___Toc11342_4253236247"/>
      <w:bookmarkStart w:id="50" w:name="analytical-dataset"/>
      <w:bookmarkEnd w:id="49"/>
      <w:r>
        <w:rPr/>
        <w:t>Analytical dataset</w:t>
      </w:r>
    </w:p>
    <w:p>
      <w:pPr>
        <w:pStyle w:val="FirstParagraph"/>
        <w:rPr/>
      </w:pPr>
      <w:r>
        <w:rPr/>
        <w:t>Table A2 shows the structure of the analytical dataset.</w:t>
      </w:r>
    </w:p>
    <w:p>
      <w:pPr>
        <w:pStyle w:val="TableCaption"/>
        <w:rPr/>
      </w:pPr>
      <w:r>
        <w:rPr>
          <w:b/>
          <w:bCs/>
        </w:rPr>
        <w:t>Table A2</w:t>
      </w:r>
      <w:r>
        <w:rPr/>
        <w:t xml:space="preserve"> Analytical dataset structure</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584"/>
        <w:gridCol w:w="1584"/>
        <w:gridCol w:w="1584"/>
        <w:gridCol w:w="1584"/>
        <w:gridCol w:w="1584"/>
      </w:tblGrid>
      <w:tr>
        <w:trPr/>
        <w:tc>
          <w:tcPr>
            <w:tcW w:w="15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upa</w:t>
            </w:r>
          </w:p>
        </w:tc>
        <w:tc>
          <w:tcPr>
            <w:tcW w:w="15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year</w:t>
            </w:r>
          </w:p>
        </w:tc>
        <w:tc>
          <w:tcPr>
            <w:tcW w:w="15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accidents</w:t>
            </w:r>
          </w:p>
        </w:tc>
        <w:tc>
          <w:tcPr>
            <w:tcW w:w="15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pop</w:t>
            </w:r>
          </w:p>
        </w:tc>
        <w:tc>
          <w:tcPr>
            <w:tcW w:w="1584"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time</w:t>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210</w:t>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bl>
    <w:p>
      <w:pPr>
        <w:pStyle w:val="TextBody"/>
        <w:spacing w:before="180" w:after="180"/>
        <w:rPr/>
      </w:pPr>
      <w:bookmarkStart w:id="51" w:name="appendix"/>
      <w:bookmarkStart w:id="52" w:name="analytical-dataset"/>
      <w:r>
        <w:rPr/>
        <w:t>Due to confidentiality the data-set used in this analysis cannot be shared online in the public version of this report.</w:t>
      </w:r>
      <w:bookmarkEnd w:id="51"/>
      <w:bookmarkEnd w:id="52"/>
    </w:p>
    <w:sectPr>
      <w:headerReference w:type="default" r:id="rId7"/>
      <w:footerReference w:type="default" r:id="rId8"/>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Ubuntu Mono">
    <w:charset w:val="01"/>
    <w:family w:val="auto"/>
    <w:pitch w:val="fixed"/>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9" name="Shape5"/>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5"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0"/>
      <w:gridCol w:w="639"/>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3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14</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14</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o:allowincell="f" style="position:absolute;margin-left:7.7pt;margin-top:236.4pt;width:466.45pt;height:164.25pt;mso-wrap-style:none;v-text-anchor:middle;rotation:315;mso-position-horizontal:center;mso-position-horizontal-relative:margin;mso-position-vertical:center;mso-position-vertical-relative:margin" type="_x0000_t136">
          <v:path textpathok="t"/>
          <v:textpath on="t" fitshape="t" string="DRAFT" trim="t" style="font-family:&quot;Ubuntu&quot;;font-size:1pt"/>
          <v:fill o:detectmouseclick="t" type="solid" color2="#3f3f3f" opacity="0.5"/>
          <v:stroke color="#3465a4" joinstyle="round" endcap="flat"/>
          <w10:wrap type="none"/>
        </v:shape>
      </w:pict>
      <mc:AlternateContent>
        <mc:Choice Requires="wps">
          <w:drawing>
            <wp:inline distT="0" distB="0" distL="0" distR="0">
              <wp:extent cx="6136005" cy="34925"/>
              <wp:effectExtent l="0" t="0" r="0" b="0"/>
              <wp:docPr id="8"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philsf-biostat.github.io/SAR-2021-007-JB/"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Application>LibreOffice/7.3.2.2$Linux_X86_64 LibreOffice_project/30$Build-2</Application>
  <AppVersion>15.0000</AppVersion>
  <Pages>14</Pages>
  <Words>2223</Words>
  <Characters>10942</Characters>
  <CharactersWithSpaces>12834</CharactersWithSpaces>
  <Paragraphs>404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2022-04-08T18:55:05Z</dcterms:created>
  <dc:creator>From: Felipe Figueiredo To: José Brites</dc:creator>
  <dc:description/>
  <dc:language>pt-BR</dc:language>
  <cp:lastModifiedBy>Felipe Figueiredo</cp:lastModifiedBy>
  <dcterms:modified xsi:type="dcterms:W3CDTF">2022-04-08T16:02:11Z</dcterms:modified>
  <cp:revision>7</cp:revision>
  <dc:subject/>
  <dc:title>Incidence rates of scorpion accidents in Urban Planning Areas of Americana/SP in 1998–2018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2022-04-08</vt:lpwstr>
  </property>
  <property fmtid="{D5CDD505-2E9C-101B-9397-08002B2CF9AE}" pid="3" name="output">
    <vt:lpwstr/>
  </property>
  <property fmtid="{D5CDD505-2E9C-101B-9397-08002B2CF9AE}" pid="4" name="subtitle">
    <vt:lpwstr>DOCUMENT: SAR-2021-007-JB-v01</vt:lpwstr>
  </property>
</Properties>
</file>