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Diferenças nos ângulos espino-pélvicos em pacientes com artrose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SAP-2021-014-FP-v01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2021-11-05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372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2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2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2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2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3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3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4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4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74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74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374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5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5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55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57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59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3761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3763_92992943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3305" cy="222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20" cy="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75pt;width:482.05pt;height:1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Diferenças nos ângulos espino-pélvicos em pacientes com artrose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3810" cy="2222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75pt;width:0.2pt;height:1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3721_929929438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3723_929929438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coletados transversalmente de pacientes com dor no quadril, em busca de problemas na coluna que possam estar 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3725_929929438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variação do slope sacral entre os grupos com e sem artrose nos pacientes com alterações biomecânicas primárias do quadril, nas posições em pé e sentado.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3727_929929438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ângulo espino-pélvico chamado slope sacral varia de acordo com o grau de artrose do quadril. O ângulo espino-pélvico chamado slope sacral varia entre posições sentado e em pé de forma diminuída de acordo com a idade e índice de massa corpórea do paciente. O ângulo espino-pélvico chamado inclinação pélvica varia entre os pacientes com artrose do quadril.</w:t>
      </w:r>
      <w:bookmarkStart w:id="6" w:name="contexto"/>
      <w:bookmarkStart w:id="7" w:name="hipótese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3729_929929438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3731_929929438"/>
      <w:bookmarkEnd w:id="9"/>
      <w:r>
        <w:rPr>
          <w:lang w:val="pt-BR" w:eastAsia="en-US" w:bidi="ar-SA"/>
        </w:rPr>
        <w:t>Dados brutos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será reformatada para usar a escala em quadril, identificando o lado do quadril avaliado (ver seção seguinte).</w:t>
      </w:r>
      <w:bookmarkStart w:id="10" w:name="dados-brutos"/>
      <w:bookmarkEnd w:id="10"/>
    </w:p>
    <w:p>
      <w:pPr>
        <w:pStyle w:val="Ttulo2"/>
        <w:rPr>
          <w:lang w:val="pt-BR" w:eastAsia="en-US" w:bidi="ar-SA"/>
        </w:rPr>
      </w:pPr>
      <w:bookmarkStart w:id="11" w:name="__RefHeading___Toc3733_929929438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1</w:t>
      </w:r>
      <w:r>
        <w:rPr>
          <w:lang w:val="pt-BR" w:eastAsia="en-US" w:bidi="ar-SA"/>
        </w:rPr>
        <w:t>3</w:t>
      </w:r>
      <w:r>
        <w:rPr>
          <w:lang w:val="pt-BR" w:eastAsia="en-US" w:bidi="ar-SA"/>
        </w:rPr>
        <w:t xml:space="preserve"> variáveis foram incluídas na análise com 34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96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6"/>
        <w:gridCol w:w="759"/>
        <w:gridCol w:w="642"/>
        <w:gridCol w:w="524"/>
        <w:gridCol w:w="524"/>
        <w:gridCol w:w="1465"/>
        <w:gridCol w:w="1700"/>
        <w:gridCol w:w="642"/>
        <w:gridCol w:w="759"/>
        <w:gridCol w:w="642"/>
        <w:gridCol w:w="524"/>
        <w:gridCol w:w="406"/>
        <w:gridCol w:w="287"/>
      </w:tblGrid>
      <w:tr>
        <w:trPr/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 w:eastAsia="Cambria" w:cs="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eastAsia="Cambria" w:cs=""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dados"/>
      <w:bookmarkStart w:id="13" w:name="tabela-de-dados-analític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3735_929929438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3737_929929438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média entre o ângulo chamado slope sacral entre os participantes com e sem artrose na posição sentada, a diferença média entre o ângulo chamado slope sacral entre os participantes com e sem artrose na posição em pé e o ângulo chamado inclinação pélvica entre os participantes com e sem artrose.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3739_929929438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média entre os grupos serão ajustadas pelo sexo, idade e IMC dos participantes.</w:t>
      </w:r>
      <w:bookmarkStart w:id="18" w:name="variáveis-do-estudo"/>
      <w:bookmarkStart w:id="19" w:name="covariáveis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3741_929929438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3743_929929438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3745_929929438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será descrito na baseline. As características demográficas (sexo, idade e IMC) e clínicas (lado da dor no quadril e o tempo em meses, ocorrência de lombalgia, HHS, tipo, mobilidade e classificação Tonnis) serão descritas como média (DP) ou frequência e proporção (%), conforme apropriado. As distribuições das características dos participantes serão resumidas em tabelas e visualizadas em gráficos exploratórios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3747_929929438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unidade de análise será o quadril. Variáveis contínuas serão comparadas entre os grupos com um modelo linear ajustado por sexo, idade e IMC dos participantes (ANCOVA). Este teste é semelhante ao teste t, mas permite o ajuste por covariáveis para corrigir por confundimento.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3749_929929438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7" w:name="análises-estatísticas"/>
      <w:bookmarkStart w:id="28" w:name="modelagem-estatística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3751_929929438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análises serão realizadas ao nível de significância de 5%. Todos os testes de hipóteses e intervalos de confiança calculados serão bicaudais.</w:t>
      </w:r>
      <w:bookmarkStart w:id="30" w:name="significância-e-intervalos-de-confiança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3753_929929438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3755_929929438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métodos-estatísticos"/>
      <w:bookmarkStart w:id="35" w:name="softwares-utilizad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3757_929929438"/>
      <w:bookmarkEnd w:id="36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37" w:name="observações-e-limit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3759_929929438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SAR-2021-014-FP-v01</w:t>
      </w:r>
      <w:r>
        <w:rPr>
          <w:lang w:val="pt-BR" w:eastAsia="en-US" w:bidi="ar-SA"/>
        </w:rPr>
        <w:t xml:space="preserve"> – Diferenças nos ângulos espino-pélvicos em pacientes com artrose </w:t>
      </w:r>
      <w:bookmarkStart w:id="39" w:name="referências"/>
      <w:bookmarkEnd w:id="39"/>
    </w:p>
    <w:p>
      <w:pPr>
        <w:pStyle w:val="Ttulo1"/>
        <w:rPr>
          <w:lang w:val="pt-BR" w:eastAsia="en-US" w:bidi="ar-SA"/>
        </w:rPr>
      </w:pPr>
      <w:bookmarkStart w:id="40" w:name="__RefHeading___Toc3761_929929438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3763_929929438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spacing w:before="180" w:after="180"/>
        <w:rPr/>
      </w:pPr>
      <w:r>
        <w:rPr>
          <w:rStyle w:val="LinkdaInternet"/>
          <w:lang w:val="pt-BR" w:eastAsia="en-US" w:bidi="ar-SA"/>
        </w:rPr>
        <w:t>https://philsf-biostat.github.io/SAR-2021-014-FP/</w:t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/>
      </w:r>
      <w:bookmarkStart w:id="42" w:name="apêndice"/>
      <w:bookmarkStart w:id="43" w:name="apêndice"/>
      <w:bookmarkEnd w:id="43"/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LibreOffice/7.2.2.2$Linux_X86_64 LibreOffice_project/20$Build-2</Application>
  <AppVersion>15.0000</AppVersion>
  <Pages>5</Pages>
  <Words>888</Words>
  <Characters>4912</Characters>
  <CharactersWithSpaces>5744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2021-11-06T01:06:55Z</dcterms:created>
  <dc:creator>De: Felipe Figueiredo Para: Fernando de Pina Cabral</dc:creator>
  <dc:description/>
  <dc:language>pt-BR</dc:language>
  <cp:lastModifiedBy>Felipe Figueiredo</cp:lastModifiedBy>
  <dcterms:modified xsi:type="dcterms:W3CDTF">2021-11-15T11:49:46Z</dcterms:modified>
  <cp:revision>11</cp:revision>
  <dc:subject/>
  <dc:title>Plano Analítico para Diferenças nos ângulos espino-pélvicos em pacientes com artrose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2021-11-05</vt:lpwstr>
  </property>
  <property fmtid="{D5CDD505-2E9C-101B-9397-08002B2CF9AE}" pid="3" name="output">
    <vt:lpwstr/>
  </property>
  <property fmtid="{D5CDD505-2E9C-101B-9397-08002B2CF9AE}" pid="4" name="subtitle">
    <vt:lpwstr>DOCUMENTO: SAP-2021-014-FP-v01</vt:lpwstr>
  </property>
  <property fmtid="{D5CDD505-2E9C-101B-9397-08002B2CF9AE}" pid="5" name="toc-title">
    <vt:lpwstr>Sumário</vt:lpwstr>
  </property>
</Properties>
</file>