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pt-BR" w:eastAsia="en-US" w:bidi="ar-SA"/>
        </w:rPr>
      </w:pPr>
      <w:r>
        <w:rPr>
          <w:rFonts w:eastAsia="" w:cs="" w:cstheme="majorBidi" w:eastAsiaTheme="majorEastAsia"/>
          <w:b/>
          <w:bCs/>
          <w:color w:val="000000" w:themeShade="b5"/>
          <w:kern w:val="0"/>
          <w:sz w:val="32"/>
          <w:szCs w:val="36"/>
          <w:lang w:val="pt-BR" w:eastAsia="en-US" w:bidi="ar-SA"/>
        </w:rPr>
        <w:t>Associação entre artrose e alteração de ângulos espino-pélvicos em pacientes com impacto femoroacetabular</w:t>
      </w:r>
    </w:p>
    <w:p>
      <w:pPr>
        <w:pStyle w:val="Subttulo"/>
        <w:rPr>
          <w:lang w:val="pt-BR" w:eastAsia="en-US" w:bidi="ar-SA"/>
        </w:rPr>
      </w:pPr>
      <w:r>
        <w:rPr>
          <w:lang w:val="pt-BR" w:eastAsia="en-US" w:bidi="ar-SA"/>
        </w:rPr>
        <w:t>DOCUMENTO: SAR-2021-014-FP-v01</w:t>
      </w:r>
    </w:p>
    <w:p>
      <w:pPr>
        <w:pStyle w:val="Author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De:</w:t>
      </w:r>
      <w:r>
        <w:rPr>
          <w:lang w:val="pt-BR" w:eastAsia="en-US" w:bidi="ar-SA"/>
        </w:rPr>
        <w:t xml:space="preserve"> Felipe Figueiredo </w:t>
      </w:r>
      <w:r>
        <w:rPr>
          <w:b/>
          <w:bCs/>
          <w:lang w:val="pt-BR" w:eastAsia="en-US" w:bidi="ar-SA"/>
        </w:rPr>
        <w:t>Para:</w:t>
      </w:r>
      <w:r>
        <w:rPr>
          <w:lang w:val="pt-BR" w:eastAsia="en-US" w:bidi="ar-SA"/>
        </w:rPr>
        <w:t xml:space="preserve"> Fernando de Pina Cabral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left="0" w:hanging="0"/>
            <w:rPr>
              <w:lang w:val="pt-BR" w:eastAsia="en-US" w:bidi="ar-SA"/>
            </w:rPr>
          </w:pPr>
          <w:r>
            <w:rPr>
              <w:b/>
              <w:bCs/>
              <w:sz w:val="32"/>
              <w:szCs w:val="32"/>
              <w:lang w:val="pt-BR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instrText> TOC \z \o "1-3" \u \h</w:instrText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fldChar w:fldCharType="separate"/>
          </w:r>
          <w:hyperlink w:anchor="__RefHeading___Toc1495_296828840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  Lista de abreviaturas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497_296828840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  Contexto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499_296828840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2.1  Objetivos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01_296828840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2.2  Recepção e tratamento dos dados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503_296828840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  Metodologia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05_296828840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  Variáveis</w:t>
              <w:tab/>
              <w:t>3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07_296828840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3.1.1  Desfechos primário e secundário</w:t>
              <w:tab/>
              <w:t>3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09_296828840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3.1.2  Covariáveis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11_296828840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3.2  Análises Estatísticas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513_296828840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  Resultados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15_296828840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4.1  População do estudo e acompanhamento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17_296828840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4.2  Ângulos espino-pélvicos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519_296828840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  Observações e limitações</w:t>
              <w:tab/>
              <w:t>7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521_296828840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6  Conclusões</w:t>
              <w:tab/>
              <w:t>7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523_296828840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7  Referências</w:t>
              <w:tab/>
              <w:t>7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525_296828840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  Apêndice</w:t>
              <w:tab/>
              <w:t>7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27_296828840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8.1  Análise exploratória de dados</w:t>
              <w:tab/>
              <w:t>7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29_296828840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8.2  Disponibilidade</w:t>
              <w:tab/>
              <w:t>7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1_296828840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8.3  Dados utilizados</w:t>
              <w:tab/>
              <w:t>7</w:t>
            </w:r>
          </w:hyperlink>
          <w:r>
            <w:rPr>
              <w:rStyle w:val="Vnculodendice"/>
              <w:lang w:val="pt-BR" w:eastAsia="en-US" w:bidi="ar-SA"/>
            </w:rPr>
            <w:fldChar w:fldCharType="end"/>
          </w:r>
        </w:p>
      </w:sdtContent>
    </w:sdt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  <mc:AlternateContent>
          <mc:Choice Requires="wps">
            <w:drawing>
              <wp:inline distT="0" distB="0" distL="0" distR="0">
                <wp:extent cx="6122035" cy="2095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2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1.65pt;width:481.95pt;height:1.5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>
          <w:b/>
          <w:b/>
          <w:bCs/>
          <w:lang w:val="pt-BR" w:eastAsia="en-US" w:bidi="ar-SA"/>
        </w:rPr>
      </w:pPr>
      <w:r>
        <w:rPr>
          <w:b/>
          <w:bCs/>
          <w:lang w:val="pt-BR" w:eastAsia="en-US" w:bidi="ar-SA"/>
        </w:rPr>
      </w:r>
      <w:r>
        <w:br w:type="page"/>
      </w:r>
    </w:p>
    <w:p>
      <w:pPr>
        <w:pStyle w:val="Ttulododocumento"/>
        <w:spacing w:before="480" w:after="240"/>
        <w:rPr>
          <w:lang w:val="pt-BR" w:eastAsia="en-US" w:bidi="ar-SA"/>
        </w:rPr>
      </w:pPr>
      <w:r>
        <w:rPr>
          <w:rFonts w:eastAsia="" w:cs="" w:cstheme="majorBidi" w:eastAsiaTheme="majorEastAsia"/>
          <w:b/>
          <w:bCs/>
          <w:color w:val="000000" w:themeShade="b5"/>
          <w:kern w:val="0"/>
          <w:sz w:val="32"/>
          <w:szCs w:val="36"/>
          <w:lang w:val="pt-BR" w:eastAsia="en-US" w:bidi="ar-SA"/>
        </w:rPr>
        <w:t>Associação entre artrose e alteração de ângulos espino-pélvicos em pacientes com impacto femoroacetabular</w:t>
      </w:r>
    </w:p>
    <w:p>
      <w:pPr>
        <w:pStyle w:val="Corpodotexto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Histórico do documento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625"/>
        <w:gridCol w:w="6012"/>
      </w:tblGrid>
      <w:tr>
        <w:trPr/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Alterações</w:t>
            </w:r>
          </w:p>
        </w:tc>
      </w:tr>
      <w:tr>
        <w:trPr/>
        <w:tc>
          <w:tcPr>
            <w:tcW w:w="3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01</w:t>
            </w:r>
          </w:p>
        </w:tc>
        <w:tc>
          <w:tcPr>
            <w:tcW w:w="6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 inicial</w:t>
            </w:r>
          </w:p>
        </w:tc>
      </w:tr>
    </w:tbl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white" stroked="t" o:allowincell="f" style="position:absolute;margin-left:0pt;margin-top:-1.65pt;width:0.1pt;height:1.5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pt-BR" w:eastAsia="en-US" w:bidi="ar-SA"/>
        </w:rPr>
      </w:pPr>
      <w:bookmarkStart w:id="0" w:name="__RefHeading___Toc1495_2968288403"/>
      <w:bookmarkEnd w:id="0"/>
      <w:r>
        <w:rPr>
          <w:lang w:val="pt-BR" w:eastAsia="en-US" w:bidi="ar-SA"/>
        </w:rPr>
        <w:t>Lista de abreviaturas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ACB: ângulo centro-borda acetabular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ANCOVA: Análise de covariância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DP: Desvio padrão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HHS: Harris hip score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IA: índice acetabular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IC: Intervalo de confiança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IMC: Índice de massa corpórea</w:t>
      </w:r>
      <w:bookmarkStart w:id="1" w:name="lista-de-abreviaturas"/>
      <w:bookmarkEnd w:id="1"/>
    </w:p>
    <w:p>
      <w:pPr>
        <w:pStyle w:val="Ttulo1"/>
        <w:rPr>
          <w:lang w:val="pt-BR" w:eastAsia="en-US" w:bidi="ar-SA"/>
        </w:rPr>
      </w:pPr>
      <w:bookmarkStart w:id="2" w:name="__RefHeading___Toc1497_2968288403"/>
      <w:bookmarkEnd w:id="2"/>
      <w:r>
        <w:rPr>
          <w:lang w:val="pt-BR" w:eastAsia="en-US" w:bidi="ar-SA"/>
        </w:rPr>
        <w:t>Contexto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Dados coletados transversalmente de pacientes com dor no quadril, em busca de problemas na coluna que possam estar associados a impactos femoroacetabulares de quadril.</w:t>
      </w:r>
    </w:p>
    <w:p>
      <w:pPr>
        <w:pStyle w:val="Ttulo2"/>
        <w:rPr>
          <w:lang w:val="pt-BR" w:eastAsia="en-US" w:bidi="ar-SA"/>
        </w:rPr>
      </w:pPr>
      <w:bookmarkStart w:id="3" w:name="__RefHeading___Toc1499_2968288403"/>
      <w:bookmarkEnd w:id="3"/>
      <w:r>
        <w:rPr>
          <w:lang w:val="pt-BR" w:eastAsia="en-US" w:bidi="ar-SA"/>
        </w:rPr>
        <w:t>Objetivos</w:t>
      </w:r>
    </w:p>
    <w:p>
      <w:pPr>
        <w:pStyle w:val="FirstParagraph"/>
        <w:rPr>
          <w:lang w:val="pt-BR" w:eastAsia="en-US" w:bidi="ar-SA"/>
        </w:rPr>
      </w:pPr>
      <w:bookmarkStart w:id="4" w:name="objetivos"/>
      <w:bookmarkEnd w:id="4"/>
      <w:r>
        <w:rPr>
          <w:lang w:val="pt-BR" w:eastAsia="en-US" w:bidi="ar-SA"/>
        </w:rPr>
        <w:t>Avaliar a variação do slope sacral e da inclinação pélvica entre os grupos com e sem artrose nos pacientes com alterações biomecânicas primárias do quadril, nas posições em pé e sentado.</w:t>
      </w:r>
    </w:p>
    <w:p>
      <w:pPr>
        <w:pStyle w:val="Ttulo2"/>
        <w:rPr>
          <w:lang w:val="pt-BR" w:eastAsia="en-US" w:bidi="ar-SA"/>
        </w:rPr>
      </w:pPr>
      <w:bookmarkStart w:id="5" w:name="__RefHeading___Toc1501_2968288403"/>
      <w:bookmarkEnd w:id="5"/>
      <w:r>
        <w:rPr>
          <w:lang w:val="pt-BR" w:eastAsia="en-US" w:bidi="ar-SA"/>
        </w:rPr>
        <w:t>Recepção e tratamento dos dados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tabela de dados brutos exibe 24 características de 17 pacientes do Hospital Regional de São José em Santa Catarina, incluindo características demográficas e mensurações de ângulos espino-pélvicos.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tabela de dados brutos foi transformada de modo que cada observação é um quadril, tendo identificado o lado do quadril, se há ocorrência de dor e os ângulos mensurados. A tabela resultante é a tabela de dados analíticos, usada para avaliação dos desfechos da análise.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classificação de artrose foi definida em protocolo como possuindo classificação de Tonnis moderada ou grave. O grupo comparador é formado pelos casos em que a classificação de Tonnis foi Normal ou Leve.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Todas as variáveis da tabela de dados analíticos foram identificadas de acordo com as descrições das variáveis, e os valores foram identificados de acordo com o dicionário de dados providenciado. Estas identificações possibilitarão a criação de tabelas de resultados com qualidade de produção final.</w:t>
      </w:r>
      <w:bookmarkStart w:id="6" w:name="contexto"/>
      <w:bookmarkStart w:id="7" w:name="recepção-e-tratamento-dos-dados"/>
      <w:bookmarkEnd w:id="6"/>
      <w:bookmarkEnd w:id="7"/>
    </w:p>
    <w:p>
      <w:pPr>
        <w:pStyle w:val="Ttulo1"/>
        <w:rPr>
          <w:lang w:val="pt-BR" w:eastAsia="en-US" w:bidi="ar-SA"/>
        </w:rPr>
      </w:pPr>
      <w:bookmarkStart w:id="8" w:name="__RefHeading___Toc1503_2968288403"/>
      <w:bookmarkEnd w:id="8"/>
      <w:r>
        <w:rPr>
          <w:lang w:val="pt-BR" w:eastAsia="en-US" w:bidi="ar-SA"/>
        </w:rPr>
        <w:t>Metodologia</w:t>
      </w:r>
    </w:p>
    <w:p>
      <w:pPr>
        <w:pStyle w:val="Ttulo2"/>
        <w:rPr>
          <w:lang w:val="pt-BR" w:eastAsia="en-US" w:bidi="ar-SA"/>
        </w:rPr>
      </w:pPr>
      <w:bookmarkStart w:id="9" w:name="__RefHeading___Toc1505_2968288403"/>
      <w:bookmarkEnd w:id="9"/>
      <w:r>
        <w:rPr>
          <w:lang w:val="pt-BR" w:eastAsia="en-US" w:bidi="ar-SA"/>
        </w:rPr>
        <w:t>Variáveis</w:t>
      </w:r>
    </w:p>
    <w:p>
      <w:pPr>
        <w:pStyle w:val="Ttulo3"/>
        <w:rPr>
          <w:lang w:val="pt-BR" w:eastAsia="en-US" w:bidi="ar-SA"/>
        </w:rPr>
      </w:pPr>
      <w:bookmarkStart w:id="10" w:name="__RefHeading___Toc1507_2968288403"/>
      <w:bookmarkEnd w:id="10"/>
      <w:r>
        <w:rPr>
          <w:lang w:val="pt-BR" w:eastAsia="en-US" w:bidi="ar-SA"/>
        </w:rPr>
        <w:t>Desfechos primário e secundário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Os desfechos primários estão definidos como a diferença entre as médias do grupo Artrose e o grupo Sadio do ângulo chamado slope sacral na posição sentada, do ângulo chamado slope sacral na posição em pé e do ângulo chamado inclinação pélvica.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Os desfechos secundários estão definidos como as diferenças médias dos ângulos ACB, IA e Alfa ente os pacientes com e sem artrose.</w:t>
      </w:r>
      <w:bookmarkStart w:id="11" w:name="desfechos-primário-e-secundário"/>
      <w:bookmarkEnd w:id="11"/>
    </w:p>
    <w:p>
      <w:pPr>
        <w:pStyle w:val="Ttulo3"/>
        <w:rPr>
          <w:lang w:val="pt-BR" w:eastAsia="en-US" w:bidi="ar-SA"/>
        </w:rPr>
      </w:pPr>
      <w:bookmarkStart w:id="12" w:name="__RefHeading___Toc1509_2968288403"/>
      <w:bookmarkEnd w:id="12"/>
      <w:r>
        <w:rPr>
          <w:lang w:val="pt-BR" w:eastAsia="en-US" w:bidi="ar-SA"/>
        </w:rPr>
        <w:t>Covariáveis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estimativas de diferença nos ângulos entre os grupos foram ajustadas pelo sexo, idade, IMC e HHS dos participantes.</w:t>
      </w:r>
      <w:bookmarkStart w:id="13" w:name="variáveis"/>
      <w:bookmarkStart w:id="14" w:name="covariáveis"/>
      <w:bookmarkEnd w:id="13"/>
      <w:bookmarkEnd w:id="14"/>
    </w:p>
    <w:p>
      <w:pPr>
        <w:pStyle w:val="Ttulo2"/>
        <w:rPr>
          <w:lang w:val="pt-BR" w:eastAsia="en-US" w:bidi="ar-SA"/>
        </w:rPr>
      </w:pPr>
      <w:bookmarkStart w:id="15" w:name="__RefHeading___Toc1511_2968288403"/>
      <w:bookmarkEnd w:id="15"/>
      <w:r>
        <w:rPr>
          <w:lang w:val="pt-BR" w:eastAsia="en-US" w:bidi="ar-SA"/>
        </w:rPr>
        <w:t>Análises Estatísticas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 perfil epidemiológico dos participantes do estudo foi descrito na baseline. As características demográficas (sexo, idade e IMC) e clínicas (lado da dor no quadril e o tempo em meses, ocorrência de lombalgia, HHS, tipo, mobilidade e classificação Tonnis) foram descritas como média (DP) ou frequência e proporção (%), conforme apropriado. As distribuições das características dos participantes foram resumidas em tabelas e visualizadas em gráficos exploratórios.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unidade de análise dos desfechos foi o quadril, considerando ambos os lados de cada participante incluído no estudo. Os desfechos foram calculados com um modelo linear ajustado por sexo, idade e IMC dos participantes (ANCOVA). Este teste é semelhante ao teste t, mas permite o ajuste por covariáveis para corrigir por confundimento.</w:t>
      </w:r>
    </w:p>
    <w:p>
      <w:pPr>
        <w:pStyle w:val="Corpodotexto"/>
        <w:rPr/>
      </w:pPr>
      <w:r>
        <w:rPr>
          <w:lang w:val="pt-BR" w:eastAsia="en-US" w:bidi="ar-SA"/>
        </w:rPr>
        <w:t xml:space="preserve">Todas as análises foram realizadas ao nível de significância de 5%. Todos os testes de hipóteses e intervalos de confiança calculados foram bicaudais. Esta análise foi realizada utilizando-se o software </w:t>
      </w:r>
      <w:r>
        <w:rPr>
          <w:rStyle w:val="VerbatimChar"/>
          <w:lang w:val="pt-BR" w:eastAsia="en-US" w:bidi="ar-SA"/>
        </w:rPr>
        <w:t>R</w:t>
      </w:r>
      <w:r>
        <w:rPr>
          <w:lang w:val="pt-BR" w:eastAsia="en-US" w:bidi="ar-SA"/>
        </w:rPr>
        <w:t xml:space="preserve"> versão 4.1.1.</w:t>
      </w:r>
      <w:bookmarkStart w:id="16" w:name="metodologia"/>
      <w:bookmarkStart w:id="17" w:name="análises-estatísticas"/>
      <w:bookmarkEnd w:id="16"/>
      <w:bookmarkEnd w:id="17"/>
    </w:p>
    <w:p>
      <w:pPr>
        <w:pStyle w:val="Ttulo1"/>
        <w:rPr>
          <w:lang w:val="pt-BR" w:eastAsia="en-US" w:bidi="ar-SA"/>
        </w:rPr>
      </w:pPr>
      <w:bookmarkStart w:id="18" w:name="__RefHeading___Toc1513_2968288403"/>
      <w:bookmarkEnd w:id="18"/>
      <w:r>
        <w:rPr>
          <w:lang w:val="pt-BR" w:eastAsia="en-US" w:bidi="ar-SA"/>
        </w:rPr>
        <w:t>Resultados</w:t>
      </w:r>
    </w:p>
    <w:p>
      <w:pPr>
        <w:pStyle w:val="Ttulo2"/>
        <w:rPr>
          <w:lang w:val="pt-BR" w:eastAsia="en-US" w:bidi="ar-SA"/>
        </w:rPr>
      </w:pPr>
      <w:bookmarkStart w:id="19" w:name="__RefHeading___Toc1515_2968288403"/>
      <w:bookmarkEnd w:id="19"/>
      <w:r>
        <w:rPr>
          <w:lang w:val="pt-BR" w:eastAsia="en-US" w:bidi="ar-SA"/>
        </w:rPr>
        <w:t>População do estudo e acompanhamento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Ao total 17 participantes foram incluídos no estudo (Tabela 1). O perfil epidemiológico do paciente incluído é composto por mulheres (76%) em torno de 40 anos com IMC 21.5 kg/m². O participante sente dor predominantemente no quadril direito (41%) há quase 3 anos (32 meses).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Dos participantes incluídos 14 foram classificados no grupo Sadio com 53% apresentando classificação Tonnis Normal e 29% Leve, e 3 participantes foram classificados no grupo Artrose (6% Tonnis Moderada e 12% Grave). O HHS médio do é 70 com DP 11 e em sua maioria estes não possuem alteração na mobilidade (65%) com apenas 18% apresentando hipermobilidade e outros 18% com rigidez no movimento. A maior parte da amostra apresenta lombalgia concomitante com as alterações espino-pélvicas (71%) avaliadas.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1</w:t>
      </w:r>
      <w:r>
        <w:rPr>
          <w:lang w:val="pt-BR" w:eastAsia="en-US" w:bidi="ar-SA"/>
        </w:rPr>
        <w:t xml:space="preserve"> Características epidemiológicas e clínicas dos participantes incluídos no estudo.</w:t>
      </w:r>
    </w:p>
    <w:tbl>
      <w:tblPr>
        <w:tblStyle w:val="Table"/>
        <w:tblW w:w="4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585"/>
        <w:gridCol w:w="1053"/>
      </w:tblGrid>
      <w:tr>
        <w:trPr/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Características dos participantes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N = 17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Sexo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Feminino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13 (76%)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Masculino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 (24%)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Idade (anos)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40 (14)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IMC (kg/m²)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21.5 (4.5)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Lado da dor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Direito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7 (41%)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Esquerdo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6 (35%)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Bilateral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 (24%)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Tempo de dor (meses)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32 (37)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Ocorrência de lombalgia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12 (71%)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HHS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70 (11)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Mobilidade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Normal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11 (65%)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Hipermóvel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 (18%)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Rígido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 (18%)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Classificação Tonnis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Normal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9 (53%)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Leve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 (29%)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Moderada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 (5.9%)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Grave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 (12%)</w:t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 slope sacral em pé médio no estudo foi 43,2 graus (DP 9,67 graus), variando entre -10 e 17 graus. O slope sacral sentado médio foi 19,8 graus (DP 7,41 graus) e variou entre 5 e 32 graus. A inclinação pélvica médio foi 3.12 graus (DP 7.12 graus), variando entre -4 e 17 graus. O ângulo ACB médio foi 32,2 graus (DP 6,04 graus), o ângulo alfa médio foi 58,8 graus (DP 6,70 graus) e o ângulo IA médio foi 2,56 graus (DP 3,99 graus).</w:t>
      </w:r>
      <w:bookmarkStart w:id="20" w:name="população-do-estudo-e-acompanhamento"/>
      <w:bookmarkEnd w:id="20"/>
    </w:p>
    <w:p>
      <w:pPr>
        <w:pStyle w:val="Ttulo2"/>
        <w:rPr>
          <w:lang w:val="pt-BR" w:eastAsia="en-US" w:bidi="ar-SA"/>
        </w:rPr>
      </w:pPr>
      <w:bookmarkStart w:id="21" w:name="__RefHeading___Toc1517_2968288403"/>
      <w:bookmarkEnd w:id="21"/>
      <w:r>
        <w:rPr>
          <w:lang w:val="pt-BR" w:eastAsia="en-US" w:bidi="ar-SA"/>
        </w:rPr>
        <w:t>Ângulos espino-pélvicos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diferenças entre os ângulos espino-pélvicos podem ser vistas na Tabela 2 e na Figura 1. O slope sacral em pé médio no grupo Artrose foi 32 graus (DP 3 graus), e no grupo Sadio 46 graus (DP 9 graus). O slope sacral sentado no grupo Artrose foi 14 graus (DP 9 graus) e no grupo Sadio 21 graus (DP 7 graus). A inclinação pélvica média foi negativa no grupo Artrose (-6, DP 3 graus) e positiva no grupo Sadio (5, DP 6 graus).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 slope sacral em pé e a inclinação pélvica foram significativamente diferentes no grupo Artrose quando comparados ao grupo Sadio (Tabela 2). Após ajustar pelo sexo, idade, IMC e HHS a diferença do slope sacral em pé foi -11 graus (ANCOVA, IC: -19 – -3.4; p=0.006) e a inclinação pélvica foi -8,7 graus (ANCOVA, IC: -15 – -2.0; p=0.013). O slope sacral sentado não foi significativamente diferente (ANCOVA 2.2, IC: -3.8 – 8.2, p=0.5).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2</w:t>
      </w:r>
      <w:r>
        <w:rPr>
          <w:lang w:val="pt-BR" w:eastAsia="en-US" w:bidi="ar-SA"/>
        </w:rPr>
        <w:t xml:space="preserve"> Diferenças ajustadas dos ângulos espinopélvicos na população do estudo.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2527"/>
        <w:gridCol w:w="1615"/>
        <w:gridCol w:w="1506"/>
        <w:gridCol w:w="2168"/>
        <w:gridCol w:w="944"/>
        <w:gridCol w:w="877"/>
      </w:tblGrid>
      <w:tr>
        <w:trPr/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Ângulos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Artrose, N = 6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Sadio, N = 28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Diferença ajustada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95% CI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valor p</w:t>
            </w:r>
          </w:p>
        </w:tc>
      </w:tr>
      <w:tr>
        <w:trPr/>
        <w:tc>
          <w:tcPr>
            <w:tcW w:w="25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Slope sacral (em pé)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32 (3)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46 (9)</w:t>
            </w:r>
          </w:p>
        </w:tc>
        <w:tc>
          <w:tcPr>
            <w:tcW w:w="21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-11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-19, -3.4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0.006</w:t>
            </w:r>
          </w:p>
        </w:tc>
      </w:tr>
      <w:tr>
        <w:trPr/>
        <w:tc>
          <w:tcPr>
            <w:tcW w:w="25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Slope sacral (sentado)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14 (9)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21 (7)</w:t>
            </w:r>
          </w:p>
        </w:tc>
        <w:tc>
          <w:tcPr>
            <w:tcW w:w="21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2.2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-3.8, 8.2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0.5</w:t>
            </w:r>
          </w:p>
        </w:tc>
      </w:tr>
      <w:tr>
        <w:trPr/>
        <w:tc>
          <w:tcPr>
            <w:tcW w:w="25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Inclinação pélvica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-6 (3)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 (6)</w:t>
            </w:r>
          </w:p>
        </w:tc>
        <w:tc>
          <w:tcPr>
            <w:tcW w:w="21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-8.7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-15, -2.0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0.013</w:t>
            </w:r>
          </w:p>
        </w:tc>
      </w:tr>
      <w:tr>
        <w:trPr/>
        <w:tc>
          <w:tcPr>
            <w:tcW w:w="25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ACB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34.2 (5.0)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31.8 (6.2)</w:t>
            </w:r>
          </w:p>
        </w:tc>
        <w:tc>
          <w:tcPr>
            <w:tcW w:w="21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-0.61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-6.8, 5.6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0.8</w:t>
            </w:r>
          </w:p>
        </w:tc>
      </w:tr>
      <w:tr>
        <w:trPr/>
        <w:tc>
          <w:tcPr>
            <w:tcW w:w="25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IA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1.7 (2.7)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2.8 (4.2)</w:t>
            </w:r>
          </w:p>
        </w:tc>
        <w:tc>
          <w:tcPr>
            <w:tcW w:w="21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0.40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-4.2, 5.0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0.9</w:t>
            </w:r>
          </w:p>
        </w:tc>
      </w:tr>
      <w:tr>
        <w:trPr/>
        <w:tc>
          <w:tcPr>
            <w:tcW w:w="25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Alfa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57 (5)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59 (7)</w:t>
            </w:r>
          </w:p>
        </w:tc>
        <w:tc>
          <w:tcPr>
            <w:tcW w:w="21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3.2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-4.1, 10</w:t>
            </w:r>
          </w:p>
        </w:tc>
        <w:tc>
          <w:tcPr>
            <w:tcW w:w="8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0.4</w:t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Os outros ângulos espino-pélvicos tiveram distribuições semelhantes entre os dois grupos. Após ajustar pelo sexo, idade, IMC e HHS dos participantes as diferenças médias entre os grupos foram pequenas relativas ao tamanho do estudo. O ângulo ACB médio no grupo Artrose foi 34,2 graus e 31,8 graus no grupo Sadio (IC: -6.8 – 5.6 graus). O ângulo IA médio foi 1,7 graus no grupo Artrose e 2,8 graus no grupo Sadio (IC: -4.2 – 5.0 graus). O ângulo Alfa médio foi 57 graus no grupo Artrose e 59 no grupo Sadio (IC: -4.1 – 10 graus).</w:t>
      </w:r>
    </w:p>
    <w:p>
      <w:pPr>
        <w:pStyle w:val="CaptionedFigure"/>
        <w:rPr>
          <w:lang w:val="pt-BR" w:eastAsia="en-US" w:bidi="ar-SA"/>
        </w:rPr>
      </w:pPr>
      <w:r>
        <w:rPr>
          <w:lang w:val="pt-BR" w:eastAsia="en-US" w:bidi="ar-SA"/>
        </w:rPr>
        <w:drawing>
          <wp:inline distT="0" distB="0" distL="0" distR="0">
            <wp:extent cx="5777230" cy="5777230"/>
            <wp:effectExtent l="0" t="0" r="0" b="0"/>
            <wp:docPr id="3" name="Picture" descr="Figura 1 Distribuição dos ângulos espinopélvicos na população do estud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Figura 1 Distribuição dos ângulos espinopélvicos na população do estudo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Figura 1</w:t>
      </w:r>
      <w:r>
        <w:rPr>
          <w:lang w:val="pt-BR" w:eastAsia="en-US" w:bidi="ar-SA"/>
        </w:rPr>
        <w:t xml:space="preserve"> Distribuição dos ângulos espinopélvicos na população do estudo.</w:t>
      </w:r>
      <w:bookmarkStart w:id="22" w:name="resultados"/>
      <w:bookmarkStart w:id="23" w:name="ângulos-espino-pélvicos"/>
      <w:bookmarkEnd w:id="22"/>
      <w:bookmarkEnd w:id="23"/>
    </w:p>
    <w:p>
      <w:pPr>
        <w:pStyle w:val="Ttulo1"/>
        <w:rPr>
          <w:lang w:val="pt-BR" w:eastAsia="en-US" w:bidi="ar-SA"/>
        </w:rPr>
      </w:pPr>
      <w:bookmarkStart w:id="24" w:name="__RefHeading___Toc1519_2968288403"/>
      <w:bookmarkEnd w:id="24"/>
      <w:r>
        <w:rPr>
          <w:lang w:val="pt-BR" w:eastAsia="en-US" w:bidi="ar-SA"/>
        </w:rPr>
        <w:t>Observações e limitações</w:t>
      </w:r>
      <w:bookmarkStart w:id="25" w:name="observações-e-limitações"/>
      <w:bookmarkEnd w:id="25"/>
    </w:p>
    <w:p>
      <w:pPr>
        <w:pStyle w:val="Ttulo1"/>
        <w:rPr>
          <w:lang w:val="pt-BR" w:eastAsia="en-US" w:bidi="ar-SA"/>
        </w:rPr>
      </w:pPr>
      <w:bookmarkStart w:id="26" w:name="__RefHeading___Toc1521_2968288403"/>
      <w:bookmarkEnd w:id="26"/>
      <w:r>
        <w:rPr>
          <w:lang w:val="pt-BR" w:eastAsia="en-US" w:bidi="ar-SA"/>
        </w:rPr>
        <w:t>Conclusões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Os pacientes com artrose moderada ou grave apresentaram slope sacral (medido na posição em pé) e a inclinação pélvica significativamente menores que os pacientes sadios. O slope sacral sentado não foi significativamente diferente entre os grupos.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Os ângulos espino-pélvicos ACB, Alfa e IA tiveram distribuições semelhantes entre os dois grupos.</w:t>
      </w:r>
      <w:bookmarkStart w:id="27" w:name="conclusões"/>
      <w:bookmarkEnd w:id="27"/>
    </w:p>
    <w:p>
      <w:pPr>
        <w:pStyle w:val="Ttulo1"/>
        <w:rPr>
          <w:lang w:val="pt-BR" w:eastAsia="en-US" w:bidi="ar-SA"/>
        </w:rPr>
      </w:pPr>
      <w:bookmarkStart w:id="28" w:name="__RefHeading___Toc1523_2968288403"/>
      <w:bookmarkEnd w:id="28"/>
      <w:r>
        <w:rPr>
          <w:lang w:val="pt-BR" w:eastAsia="en-US" w:bidi="ar-SA"/>
        </w:rPr>
        <w:t>Referências</w:t>
      </w:r>
    </w:p>
    <w:p>
      <w:pPr>
        <w:pStyle w:val="Compact"/>
        <w:numPr>
          <w:ilvl w:val="0"/>
          <w:numId w:val="4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SAP-2021-014-FP-v01</w:t>
      </w:r>
      <w:r>
        <w:rPr>
          <w:lang w:val="pt-BR" w:eastAsia="en-US" w:bidi="ar-SA"/>
        </w:rPr>
        <w:t xml:space="preserve"> – Plano Analítico para Diferenças nos ângulos espino-pélvicos em pacientes com artrose </w:t>
      </w:r>
      <w:bookmarkStart w:id="29" w:name="referências"/>
      <w:bookmarkEnd w:id="29"/>
    </w:p>
    <w:p>
      <w:pPr>
        <w:pStyle w:val="Ttulo1"/>
        <w:rPr>
          <w:lang w:val="pt-BR" w:eastAsia="en-US" w:bidi="ar-SA"/>
        </w:rPr>
      </w:pPr>
      <w:bookmarkStart w:id="30" w:name="__RefHeading___Toc1525_2968288403"/>
      <w:bookmarkEnd w:id="30"/>
      <w:r>
        <w:rPr>
          <w:lang w:val="pt-BR" w:eastAsia="en-US" w:bidi="ar-SA"/>
        </w:rPr>
        <w:t>Apêndice</w:t>
      </w:r>
    </w:p>
    <w:p>
      <w:pPr>
        <w:pStyle w:val="Ttulo2"/>
        <w:rPr>
          <w:lang w:val="pt-BR" w:eastAsia="en-US" w:bidi="ar-SA"/>
        </w:rPr>
      </w:pPr>
      <w:bookmarkStart w:id="31" w:name="__RefHeading___Toc1527_2968288403"/>
      <w:bookmarkEnd w:id="31"/>
      <w:r>
        <w:rPr>
          <w:lang w:val="pt-BR" w:eastAsia="en-US" w:bidi="ar-SA"/>
        </w:rPr>
        <w:t>Análise exploratória de dados</w:t>
      </w:r>
      <w:bookmarkStart w:id="32" w:name="análise-exploratória-de-dados"/>
      <w:bookmarkEnd w:id="32"/>
    </w:p>
    <w:p>
      <w:pPr>
        <w:pStyle w:val="Ttulo2"/>
        <w:rPr>
          <w:lang w:val="pt-BR" w:eastAsia="en-US" w:bidi="ar-SA"/>
        </w:rPr>
      </w:pPr>
      <w:bookmarkStart w:id="33" w:name="__RefHeading___Toc1529_2968288403"/>
      <w:bookmarkEnd w:id="33"/>
      <w:r>
        <w:rPr>
          <w:lang w:val="pt-BR" w:eastAsia="en-US" w:bidi="ar-SA"/>
        </w:rPr>
        <w:t>Disponibilidade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Tanto este documento como o plano analítico correspondente (</w:t>
      </w:r>
      <w:r>
        <w:rPr>
          <w:b/>
          <w:bCs/>
          <w:lang w:val="pt-BR" w:eastAsia="en-US" w:bidi="ar-SA"/>
        </w:rPr>
        <w:t>SAP-2021-014-FP-v01</w:t>
      </w:r>
      <w:r>
        <w:rPr>
          <w:lang w:val="pt-BR" w:eastAsia="en-US" w:bidi="ar-SA"/>
        </w:rPr>
        <w:t>) podem ser obtidos no seguinte endereço:</w:t>
      </w:r>
    </w:p>
    <w:p>
      <w:pPr>
        <w:pStyle w:val="Corpodotexto"/>
        <w:rPr/>
      </w:pPr>
      <w:hyperlink r:id="rId3">
        <w:r>
          <w:rPr>
            <w:rStyle w:val="LinkdaInternet"/>
            <w:lang w:val="pt-BR" w:eastAsia="en-US" w:bidi="ar-SA"/>
          </w:rPr>
          <w:t>https://philsf-biostat.github.io/SAR-2021-014-FP/</w:t>
        </w:r>
      </w:hyperlink>
      <w:bookmarkStart w:id="34" w:name="disponibilidade"/>
      <w:bookmarkEnd w:id="34"/>
    </w:p>
    <w:p>
      <w:pPr>
        <w:pStyle w:val="Ttulo2"/>
        <w:rPr>
          <w:lang w:val="pt-BR" w:eastAsia="en-US" w:bidi="ar-SA"/>
        </w:rPr>
      </w:pPr>
      <w:bookmarkStart w:id="35" w:name="__RefHeading___Toc1531_2968288403"/>
      <w:bookmarkEnd w:id="35"/>
      <w:r>
        <w:rPr>
          <w:lang w:val="pt-BR" w:eastAsia="en-US" w:bidi="ar-SA"/>
        </w:rPr>
        <w:t>Dados utilizados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Os dados utilizados neste relatório não podem ser publicados online por questões de sigilo.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A1</w:t>
      </w:r>
      <w:r>
        <w:rPr>
          <w:lang w:val="pt-BR" w:eastAsia="en-US" w:bidi="ar-SA"/>
        </w:rPr>
        <w:t xml:space="preserve"> Estrutura da tabela de dados analíticos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85"/>
        <w:gridCol w:w="721"/>
        <w:gridCol w:w="608"/>
        <w:gridCol w:w="496"/>
        <w:gridCol w:w="499"/>
        <w:gridCol w:w="496"/>
        <w:gridCol w:w="1391"/>
        <w:gridCol w:w="1613"/>
        <w:gridCol w:w="609"/>
        <w:gridCol w:w="720"/>
        <w:gridCol w:w="609"/>
        <w:gridCol w:w="499"/>
        <w:gridCol w:w="384"/>
        <w:gridCol w:w="607"/>
      </w:tblGrid>
      <w:tr>
        <w:trPr/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id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idade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sexo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imc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dor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hhs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slope_em_pe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slope_sentado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tilt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group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lado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acb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ia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alfa</w:t>
            </w:r>
          </w:p>
        </w:tc>
      </w:tr>
      <w:tr>
        <w:trPr/>
        <w:tc>
          <w:tcPr>
            <w:tcW w:w="3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3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…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34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  <w:bookmarkStart w:id="36" w:name="dados-utilizados"/>
            <w:bookmarkStart w:id="37" w:name="dados-utilizados"/>
            <w:bookmarkEnd w:id="37"/>
          </w:p>
        </w:tc>
      </w:tr>
    </w:tbl>
    <w:p>
      <w:pPr>
        <w:pStyle w:val="Normal"/>
        <w:spacing w:before="0" w:after="200"/>
        <w:rPr>
          <w:lang w:val="pt-BR" w:eastAsia="en-US" w:bidi="ar-SA"/>
        </w:rPr>
      </w:pPr>
      <w:r>
        <w:rPr>
          <w:lang w:val="pt-BR" w:eastAsia="en-US" w:bidi="ar-SA"/>
        </w:rPr>
      </w:r>
    </w:p>
    <w:sectPr>
      <w:headerReference w:type="default" r:id="rId4"/>
      <w:footerReference w:type="default" r:id="rId5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275" cy="36195"/>
              <wp:effectExtent l="0" t="0" r="0" b="0"/>
              <wp:docPr id="6" name="Forma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6560" cy="35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5" path="m0,0l-2147483645,0l-2147483645,-2147483646l0,-2147483646xe" fillcolor="white" stroked="t" o:allowincell="f" style="position:absolute;margin-left:0pt;margin-top:-2.85pt;width:483.15pt;height:2.7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1"/>
      <w:gridCol w:w="638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5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7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5pt;margin-top:236.45pt;width:466.4pt;height:164.2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7275" cy="36195"/>
              <wp:effectExtent l="0" t="0" r="0" b="0"/>
              <wp:docPr id="5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6560" cy="35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85pt;width:483.15pt;height:2.7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dondicealfabtico"/>
    <w:next w:val="Corpodotexto"/>
    <w:uiPriority w:val="39"/>
    <w:unhideWhenUsed/>
    <w:qFormat/>
    <w:pPr>
      <w:numPr>
        <w:ilvl w:val="0"/>
        <w:numId w:val="0"/>
      </w:numPr>
      <w:suppressLineNumbers/>
      <w:ind w:left="0" w:hanging="0"/>
    </w:pPr>
    <w:rPr>
      <w:b/>
      <w:bCs/>
      <w:sz w:val="32"/>
      <w:szCs w:val="32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113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113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113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hilsf-biostat.github.io/SAR-2021-014-FP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LibreOffice/7.2.2.2$Linux_X86_64 LibreOffice_project/20$Build-2</Application>
  <AppVersion>15.0000</AppVersion>
  <Pages>7</Pages>
  <Words>1444</Words>
  <Characters>7533</Characters>
  <CharactersWithSpaces>8834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2021-11-15T23:02:47Z</dcterms:created>
  <dc:creator>De: Felipe Figueiredo Para: Fernando de Pina Cabral</dc:creator>
  <dc:description/>
  <dc:language>pt-BR</dc:language>
  <cp:lastModifiedBy>Felipe Figueiredo</cp:lastModifiedBy>
  <dcterms:modified xsi:type="dcterms:W3CDTF">2021-11-15T20:26:35Z</dcterms:modified>
  <cp:revision>8</cp:revision>
  <dc:subject/>
  <dc:title>Diferenças nos ângulos espino-pélvicos em pacientes com artrose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DOCUMENTO: SAR-2021-014-FP-v01</vt:lpwstr>
  </property>
  <property fmtid="{D5CDD505-2E9C-101B-9397-08002B2CF9AE}" pid="4" name="toc-title">
    <vt:lpwstr>Sumário</vt:lpwstr>
  </property>
</Properties>
</file>