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Sample size for the verification of possible Interleukin-6 circadian rhythm in Alpha-1 Antitrypsin deficient patients</w:t>
      </w:r>
    </w:p>
    <w:p>
      <w:pPr>
        <w:pStyle w:val="Subttulo"/>
        <w:rPr/>
      </w:pPr>
      <w:r>
        <w:rPr/>
        <w:t>DOCUMENT: SAP-2021-020-LH-v01</w:t>
      </w:r>
    </w:p>
    <w:p>
      <w:pPr>
        <w:pStyle w:val="Author"/>
        <w:rPr/>
      </w:pPr>
      <w:r>
        <w:rPr>
          <w:b/>
          <w:bCs/>
        </w:rPr>
        <w:t>From:</w:t>
      </w:r>
      <w:r>
        <w:rPr/>
        <w:t xml:space="preserve"> Felipe Figueiredo </w:t>
      </w:r>
      <w:r>
        <w:rPr>
          <w:b/>
          <w:bCs/>
        </w:rPr>
        <w:t>To:</w:t>
      </w:r>
      <w:r>
        <w:rPr/>
        <w:t xml:space="preserve"> lameesehadda (fiverr.com)</w:t>
      </w:r>
    </w:p>
    <w:p>
      <w:pPr>
        <w:pStyle w:val="Date"/>
        <w:rPr/>
      </w:pPr>
      <w:r>
        <w:rPr/>
        <w:t>2021-12-1</w:t>
      </w:r>
      <w:r>
        <w:rPr/>
        <w:t>3</w:t>
      </w:r>
    </w:p>
    <w:sdt>
      <w:sdtPr>
        <w:docPartObj>
          <w:docPartGallery w:val="Table of Contents"/>
          <w:docPartUnique w:val="true"/>
        </w:docPartObj>
      </w:sdtPr>
      <w:sdtContent>
        <w:p>
          <w:pPr>
            <w:pStyle w:val="Ttulodosumrio"/>
            <w:numPr>
              <w:ilvl w:val="0"/>
              <w:numId w:val="0"/>
            </w:numPr>
            <w:spacing w:lineRule="auto" w:line="259" w:before="240" w:after="0"/>
            <w:ind w:left="0" w:hanging="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Sumrio1"/>
            <w:tabs>
              <w:tab w:val="clear" w:pos="9360"/>
              <w:tab w:val="right" w:pos="9638" w:leader="dot"/>
            </w:tabs>
            <w:rPr/>
          </w:pPr>
          <w:r>
            <w:fldChar w:fldCharType="begin"/>
          </w:r>
          <w:r>
            <w:rPr>
              <w:webHidden/>
              <w:rStyle w:val="Vnculodendice"/>
              <w:vanish w:val="false"/>
            </w:rPr>
            <w:instrText> TOC \z \o "1-3" \u \h</w:instrText>
          </w:r>
          <w:r>
            <w:rPr>
              <w:webHidden/>
              <w:rStyle w:val="Vnculodendice"/>
              <w:vanish w:val="false"/>
            </w:rPr>
            <w:fldChar w:fldCharType="separate"/>
          </w:r>
          <w:hyperlink w:anchor="__RefHeading___Toc2523_3043853047">
            <w:r>
              <w:rPr>
                <w:webHidden/>
                <w:rStyle w:val="Vnculodendice"/>
                <w:vanish w:val="false"/>
              </w:rPr>
              <w:t xml:space="preserve"> </w:t>
            </w:r>
            <w:r>
              <w:rPr>
                <w:rStyle w:val="Vnculodendice"/>
              </w:rPr>
              <w:t>1  Abbreviations</w:t>
              <w:tab/>
              <w:t>2</w:t>
            </w:r>
          </w:hyperlink>
        </w:p>
        <w:p>
          <w:pPr>
            <w:pStyle w:val="Sumrio1"/>
            <w:tabs>
              <w:tab w:val="clear" w:pos="9360"/>
              <w:tab w:val="right" w:pos="9638" w:leader="dot"/>
            </w:tabs>
            <w:rPr/>
          </w:pPr>
          <w:hyperlink w:anchor="__RefHeading___Toc2525_3043853047">
            <w:r>
              <w:rPr>
                <w:webHidden/>
                <w:rStyle w:val="Vnculodendice"/>
                <w:vanish w:val="false"/>
              </w:rPr>
              <w:t xml:space="preserve"> </w:t>
            </w:r>
            <w:r>
              <w:rPr>
                <w:rStyle w:val="Vnculodendice"/>
              </w:rPr>
              <w:t>2  Context</w:t>
              <w:tab/>
              <w:t>2</w:t>
            </w:r>
          </w:hyperlink>
        </w:p>
        <w:p>
          <w:pPr>
            <w:pStyle w:val="Sumrio2"/>
            <w:tabs>
              <w:tab w:val="clear" w:pos="9077"/>
              <w:tab w:val="right" w:pos="9638" w:leader="dot"/>
            </w:tabs>
            <w:rPr/>
          </w:pPr>
          <w:hyperlink w:anchor="__RefHeading___Toc2527_3043853047">
            <w:r>
              <w:rPr>
                <w:webHidden/>
                <w:rStyle w:val="Vnculodendice"/>
                <w:vanish w:val="false"/>
              </w:rPr>
              <w:t xml:space="preserve"> </w:t>
            </w:r>
            <w:r>
              <w:rPr>
                <w:rStyle w:val="Vnculodendice"/>
              </w:rPr>
              <w:t>2.1  Objectives</w:t>
              <w:tab/>
              <w:t>2</w:t>
            </w:r>
          </w:hyperlink>
        </w:p>
        <w:p>
          <w:pPr>
            <w:pStyle w:val="Sumrio2"/>
            <w:tabs>
              <w:tab w:val="clear" w:pos="9077"/>
              <w:tab w:val="right" w:pos="9638" w:leader="dot"/>
            </w:tabs>
            <w:rPr/>
          </w:pPr>
          <w:hyperlink w:anchor="__RefHeading___Toc2529_3043853047">
            <w:r>
              <w:rPr>
                <w:webHidden/>
                <w:rStyle w:val="Vnculodendice"/>
                <w:vanish w:val="false"/>
              </w:rPr>
              <w:t xml:space="preserve"> </w:t>
            </w:r>
            <w:r>
              <w:rPr>
                <w:rStyle w:val="Vnculodendice"/>
              </w:rPr>
              <w:t>2.2  Hypotheses</w:t>
              <w:tab/>
              <w:t>2</w:t>
            </w:r>
          </w:hyperlink>
        </w:p>
        <w:p>
          <w:pPr>
            <w:pStyle w:val="Sumrio1"/>
            <w:tabs>
              <w:tab w:val="clear" w:pos="9360"/>
              <w:tab w:val="right" w:pos="9638" w:leader="dot"/>
            </w:tabs>
            <w:rPr/>
          </w:pPr>
          <w:hyperlink w:anchor="__RefHeading___Toc2531_3043853047">
            <w:r>
              <w:rPr>
                <w:webHidden/>
                <w:rStyle w:val="Vnculodendice"/>
                <w:vanish w:val="false"/>
              </w:rPr>
              <w:t xml:space="preserve"> </w:t>
            </w:r>
            <w:r>
              <w:rPr>
                <w:rStyle w:val="Vnculodendice"/>
              </w:rPr>
              <w:t>3  Data</w:t>
              <w:tab/>
              <w:t>2</w:t>
            </w:r>
          </w:hyperlink>
        </w:p>
        <w:p>
          <w:pPr>
            <w:pStyle w:val="Sumrio2"/>
            <w:tabs>
              <w:tab w:val="clear" w:pos="9077"/>
              <w:tab w:val="right" w:pos="9638" w:leader="dot"/>
            </w:tabs>
            <w:rPr/>
          </w:pPr>
          <w:hyperlink w:anchor="__RefHeading___Toc2533_3043853047">
            <w:r>
              <w:rPr>
                <w:webHidden/>
                <w:rStyle w:val="Vnculodendice"/>
                <w:vanish w:val="false"/>
              </w:rPr>
              <w:t xml:space="preserve"> </w:t>
            </w:r>
            <w:r>
              <w:rPr>
                <w:rStyle w:val="Vnculodendice"/>
              </w:rPr>
              <w:t>3.1  Raw data</w:t>
              <w:tab/>
              <w:t>2</w:t>
            </w:r>
          </w:hyperlink>
        </w:p>
        <w:p>
          <w:pPr>
            <w:pStyle w:val="Sumrio2"/>
            <w:tabs>
              <w:tab w:val="clear" w:pos="9077"/>
              <w:tab w:val="right" w:pos="9638" w:leader="dot"/>
            </w:tabs>
            <w:rPr/>
          </w:pPr>
          <w:hyperlink w:anchor="__RefHeading___Toc2535_3043853047">
            <w:r>
              <w:rPr>
                <w:webHidden/>
                <w:rStyle w:val="Vnculodendice"/>
                <w:vanish w:val="false"/>
              </w:rPr>
              <w:t xml:space="preserve"> </w:t>
            </w:r>
            <w:r>
              <w:rPr>
                <w:rStyle w:val="Vnculodendice"/>
              </w:rPr>
              <w:t>3.2  Analytical dataset</w:t>
              <w:tab/>
              <w:t>3</w:t>
            </w:r>
          </w:hyperlink>
        </w:p>
        <w:p>
          <w:pPr>
            <w:pStyle w:val="Sumrio1"/>
            <w:tabs>
              <w:tab w:val="clear" w:pos="9360"/>
              <w:tab w:val="right" w:pos="9638" w:leader="dot"/>
            </w:tabs>
            <w:rPr/>
          </w:pPr>
          <w:hyperlink w:anchor="__RefHeading___Toc2537_3043853047">
            <w:r>
              <w:rPr>
                <w:webHidden/>
                <w:rStyle w:val="Vnculodendice"/>
                <w:vanish w:val="false"/>
              </w:rPr>
              <w:t xml:space="preserve"> </w:t>
            </w:r>
            <w:r>
              <w:rPr>
                <w:rStyle w:val="Vnculodendice"/>
              </w:rPr>
              <w:t>4  Study variables</w:t>
              <w:tab/>
              <w:t>3</w:t>
            </w:r>
          </w:hyperlink>
        </w:p>
        <w:p>
          <w:pPr>
            <w:pStyle w:val="Sumrio2"/>
            <w:tabs>
              <w:tab w:val="clear" w:pos="9077"/>
              <w:tab w:val="right" w:pos="9638" w:leader="dot"/>
            </w:tabs>
            <w:rPr/>
          </w:pPr>
          <w:hyperlink w:anchor="__RefHeading___Toc2539_3043853047">
            <w:r>
              <w:rPr>
                <w:webHidden/>
                <w:rStyle w:val="Vnculodendice"/>
                <w:vanish w:val="false"/>
              </w:rPr>
              <w:t xml:space="preserve"> </w:t>
            </w:r>
            <w:r>
              <w:rPr>
                <w:rStyle w:val="Vnculodendice"/>
              </w:rPr>
              <w:t>4.1  Primary and secondary outcomes</w:t>
              <w:tab/>
              <w:t>3</w:t>
            </w:r>
          </w:hyperlink>
        </w:p>
        <w:p>
          <w:pPr>
            <w:pStyle w:val="Sumrio2"/>
            <w:tabs>
              <w:tab w:val="clear" w:pos="9077"/>
              <w:tab w:val="right" w:pos="9638" w:leader="dot"/>
            </w:tabs>
            <w:rPr/>
          </w:pPr>
          <w:hyperlink w:anchor="__RefHeading___Toc2541_3043853047">
            <w:r>
              <w:rPr>
                <w:webHidden/>
                <w:rStyle w:val="Vnculodendice"/>
                <w:vanish w:val="false"/>
              </w:rPr>
              <w:t xml:space="preserve"> </w:t>
            </w:r>
            <w:r>
              <w:rPr>
                <w:rStyle w:val="Vnculodendice"/>
              </w:rPr>
              <w:t>4.2  Covariates</w:t>
              <w:tab/>
              <w:t>4</w:t>
            </w:r>
          </w:hyperlink>
        </w:p>
        <w:p>
          <w:pPr>
            <w:pStyle w:val="Sumrio1"/>
            <w:tabs>
              <w:tab w:val="clear" w:pos="9360"/>
              <w:tab w:val="right" w:pos="9638" w:leader="dot"/>
            </w:tabs>
            <w:rPr/>
          </w:pPr>
          <w:hyperlink w:anchor="__RefHeading___Toc2543_3043853047">
            <w:r>
              <w:rPr>
                <w:webHidden/>
                <w:rStyle w:val="Vnculodendice"/>
                <w:vanish w:val="false"/>
              </w:rPr>
              <w:t xml:space="preserve"> </w:t>
            </w:r>
            <w:r>
              <w:rPr>
                <w:rStyle w:val="Vnculodendice"/>
              </w:rPr>
              <w:t>5  Statistical methods</w:t>
              <w:tab/>
              <w:t>4</w:t>
            </w:r>
          </w:hyperlink>
        </w:p>
        <w:p>
          <w:pPr>
            <w:pStyle w:val="Sumrio2"/>
            <w:tabs>
              <w:tab w:val="clear" w:pos="9077"/>
              <w:tab w:val="right" w:pos="9638" w:leader="dot"/>
            </w:tabs>
            <w:rPr/>
          </w:pPr>
          <w:hyperlink w:anchor="__RefHeading___Toc2545_3043853047">
            <w:r>
              <w:rPr>
                <w:webHidden/>
                <w:rStyle w:val="Vnculodendice"/>
                <w:vanish w:val="false"/>
              </w:rPr>
              <w:t xml:space="preserve"> </w:t>
            </w:r>
            <w:r>
              <w:rPr>
                <w:rStyle w:val="Vnculodendice"/>
              </w:rPr>
              <w:t>5.1  Statistical analyses</w:t>
              <w:tab/>
              <w:t>4</w:t>
            </w:r>
          </w:hyperlink>
        </w:p>
        <w:p>
          <w:pPr>
            <w:pStyle w:val="Sumrio3"/>
            <w:tabs>
              <w:tab w:val="clear" w:pos="8794"/>
              <w:tab w:val="right" w:pos="9638" w:leader="dot"/>
            </w:tabs>
            <w:rPr/>
          </w:pPr>
          <w:hyperlink w:anchor="__RefHeading___Toc2547_3043853047">
            <w:r>
              <w:rPr>
                <w:webHidden/>
                <w:rStyle w:val="Vnculodendice"/>
                <w:vanish w:val="false"/>
              </w:rPr>
              <w:t xml:space="preserve"> </w:t>
            </w:r>
            <w:r>
              <w:rPr>
                <w:rStyle w:val="Vnculodendice"/>
              </w:rPr>
              <w:t>5.1.1  Descriptive analyses</w:t>
              <w:tab/>
              <w:t>4</w:t>
            </w:r>
          </w:hyperlink>
        </w:p>
        <w:p>
          <w:pPr>
            <w:pStyle w:val="Sumrio3"/>
            <w:tabs>
              <w:tab w:val="clear" w:pos="8794"/>
              <w:tab w:val="right" w:pos="9638" w:leader="dot"/>
            </w:tabs>
            <w:rPr/>
          </w:pPr>
          <w:hyperlink w:anchor="__RefHeading___Toc2549_3043853047">
            <w:r>
              <w:rPr>
                <w:webHidden/>
                <w:rStyle w:val="Vnculodendice"/>
                <w:vanish w:val="false"/>
              </w:rPr>
              <w:t xml:space="preserve"> </w:t>
            </w:r>
            <w:r>
              <w:rPr>
                <w:rStyle w:val="Vnculodendice"/>
              </w:rPr>
              <w:t>5.1.2  Inferential analyses</w:t>
              <w:tab/>
              <w:t>4</w:t>
            </w:r>
          </w:hyperlink>
        </w:p>
        <w:p>
          <w:pPr>
            <w:pStyle w:val="Sumrio3"/>
            <w:tabs>
              <w:tab w:val="clear" w:pos="8794"/>
              <w:tab w:val="right" w:pos="9638" w:leader="dot"/>
            </w:tabs>
            <w:rPr/>
          </w:pPr>
          <w:hyperlink w:anchor="__RefHeading___Toc2551_3043853047">
            <w:r>
              <w:rPr>
                <w:webHidden/>
                <w:rStyle w:val="Vnculodendice"/>
                <w:vanish w:val="false"/>
              </w:rPr>
              <w:t xml:space="preserve"> </w:t>
            </w:r>
            <w:r>
              <w:rPr>
                <w:rStyle w:val="Vnculodendice"/>
              </w:rPr>
              <w:t>5.1.3  Statistical modeling</w:t>
              <w:tab/>
              <w:t>4</w:t>
            </w:r>
          </w:hyperlink>
        </w:p>
        <w:p>
          <w:pPr>
            <w:pStyle w:val="Sumrio2"/>
            <w:tabs>
              <w:tab w:val="clear" w:pos="9077"/>
              <w:tab w:val="right" w:pos="9638" w:leader="dot"/>
            </w:tabs>
            <w:rPr/>
          </w:pPr>
          <w:hyperlink w:anchor="__RefHeading___Toc2553_3043853047">
            <w:r>
              <w:rPr>
                <w:webHidden/>
                <w:rStyle w:val="Vnculodendice"/>
                <w:vanish w:val="false"/>
              </w:rPr>
              <w:t xml:space="preserve"> </w:t>
            </w:r>
            <w:r>
              <w:rPr>
                <w:rStyle w:val="Vnculodendice"/>
              </w:rPr>
              <w:t>5.2  Significance and Confidence Intervals</w:t>
              <w:tab/>
              <w:t>4</w:t>
            </w:r>
          </w:hyperlink>
        </w:p>
        <w:p>
          <w:pPr>
            <w:pStyle w:val="Sumrio2"/>
            <w:tabs>
              <w:tab w:val="clear" w:pos="9077"/>
              <w:tab w:val="right" w:pos="9638" w:leader="dot"/>
            </w:tabs>
            <w:rPr/>
          </w:pPr>
          <w:hyperlink w:anchor="__RefHeading___Toc2555_3043853047">
            <w:r>
              <w:rPr>
                <w:webHidden/>
                <w:rStyle w:val="Vnculodendice"/>
                <w:vanish w:val="false"/>
              </w:rPr>
              <w:t xml:space="preserve"> </w:t>
            </w:r>
            <w:r>
              <w:rPr>
                <w:rStyle w:val="Vnculodendice"/>
              </w:rPr>
              <w:t>5.3  Study size and Power</w:t>
              <w:tab/>
              <w:t>4</w:t>
            </w:r>
          </w:hyperlink>
        </w:p>
        <w:p>
          <w:pPr>
            <w:pStyle w:val="Sumrio2"/>
            <w:tabs>
              <w:tab w:val="clear" w:pos="9077"/>
              <w:tab w:val="right" w:pos="9638" w:leader="dot"/>
            </w:tabs>
            <w:rPr/>
          </w:pPr>
          <w:hyperlink w:anchor="__RefHeading___Toc2557_3043853047">
            <w:r>
              <w:rPr>
                <w:webHidden/>
                <w:rStyle w:val="Vnculodendice"/>
                <w:vanish w:val="false"/>
              </w:rPr>
              <w:t xml:space="preserve"> </w:t>
            </w:r>
            <w:r>
              <w:rPr>
                <w:rStyle w:val="Vnculodendice"/>
              </w:rPr>
              <w:t>5.4  Statistical packages</w:t>
              <w:tab/>
              <w:t>4</w:t>
            </w:r>
          </w:hyperlink>
        </w:p>
        <w:p>
          <w:pPr>
            <w:pStyle w:val="Sumrio1"/>
            <w:tabs>
              <w:tab w:val="clear" w:pos="9360"/>
              <w:tab w:val="right" w:pos="9638" w:leader="dot"/>
            </w:tabs>
            <w:rPr/>
          </w:pPr>
          <w:hyperlink w:anchor="__RefHeading___Toc2559_3043853047">
            <w:r>
              <w:rPr>
                <w:webHidden/>
                <w:rStyle w:val="Vnculodendice"/>
                <w:vanish w:val="false"/>
              </w:rPr>
              <w:t xml:space="preserve"> </w:t>
            </w:r>
            <w:r>
              <w:rPr>
                <w:rStyle w:val="Vnculodendice"/>
              </w:rPr>
              <w:t>6  Observations and limitations</w:t>
              <w:tab/>
              <w:t>4</w:t>
            </w:r>
          </w:hyperlink>
        </w:p>
        <w:p>
          <w:pPr>
            <w:pStyle w:val="Sumrio1"/>
            <w:tabs>
              <w:tab w:val="clear" w:pos="9360"/>
              <w:tab w:val="right" w:pos="9638" w:leader="dot"/>
            </w:tabs>
            <w:rPr/>
          </w:pPr>
          <w:hyperlink w:anchor="__RefHeading___Toc2561_3043853047">
            <w:r>
              <w:rPr>
                <w:webHidden/>
                <w:rStyle w:val="Vnculodendice"/>
                <w:vanish w:val="false"/>
              </w:rPr>
              <w:t xml:space="preserve"> </w:t>
            </w:r>
            <w:r>
              <w:rPr>
                <w:rStyle w:val="Vnculodendice"/>
              </w:rPr>
              <w:t>7  References</w:t>
              <w:tab/>
              <w:t>5</w:t>
            </w:r>
          </w:hyperlink>
        </w:p>
        <w:p>
          <w:pPr>
            <w:pStyle w:val="Sumrio1"/>
            <w:tabs>
              <w:tab w:val="clear" w:pos="9360"/>
              <w:tab w:val="right" w:pos="9638" w:leader="dot"/>
            </w:tabs>
            <w:rPr/>
          </w:pPr>
          <w:hyperlink w:anchor="__RefHeading___Toc2563_3043853047">
            <w:r>
              <w:rPr>
                <w:webHidden/>
                <w:rStyle w:val="Vnculodendice"/>
                <w:vanish w:val="false"/>
              </w:rPr>
              <w:t xml:space="preserve"> </w:t>
            </w:r>
            <w:r>
              <w:rPr>
                <w:rStyle w:val="Vnculodendice"/>
              </w:rPr>
              <w:t>8  Appendix</w:t>
              <w:tab/>
              <w:t>5</w:t>
            </w:r>
          </w:hyperlink>
        </w:p>
        <w:p>
          <w:pPr>
            <w:pStyle w:val="Sumrio2"/>
            <w:tabs>
              <w:tab w:val="clear" w:pos="9077"/>
              <w:tab w:val="right" w:pos="9638" w:leader="dot"/>
            </w:tabs>
            <w:rPr/>
          </w:pPr>
          <w:hyperlink w:anchor="__RefHeading___Toc2565_3043853047">
            <w:r>
              <w:rPr>
                <w:webHidden/>
                <w:rStyle w:val="Vnculodendice"/>
                <w:vanish w:val="false"/>
              </w:rPr>
              <w:t xml:space="preserve"> </w:t>
            </w:r>
            <w:r>
              <w:rPr>
                <w:rStyle w:val="Vnculodendice"/>
              </w:rPr>
              <w:t>8.1  Availability</w:t>
              <w:tab/>
              <w:t>5</w:t>
            </w:r>
          </w:hyperlink>
          <w:r>
            <w:rPr>
              <w:rStyle w:val="Vnculodendice"/>
            </w:rPr>
            <w:fldChar w:fldCharType="end"/>
          </w:r>
        </w:p>
      </w:sdtContent>
    </w:sdt>
    <w:p>
      <w:pPr>
        <w:pStyle w:val="Normal"/>
        <w:rPr/>
      </w:pPr>
      <w:r>
        <w:rPr/>
        <mc:AlternateContent>
          <mc:Choice Requires="wps">
            <w:drawing>
              <wp:inline distT="0" distB="0" distL="0" distR="0">
                <wp:extent cx="6121400" cy="20320"/>
                <wp:effectExtent l="0" t="0" r="0" b="0"/>
                <wp:docPr id="1" name="Forma1"/>
                <a:graphic xmlns:a="http://schemas.openxmlformats.org/drawingml/2006/main">
                  <a:graphicData uri="http://schemas.microsoft.com/office/word/2010/wordprocessingShape">
                    <wps:wsp>
                      <wps:cNvSpPr/>
                      <wps:spPr>
                        <a:xfrm>
                          <a:off x="0" y="0"/>
                          <a:ext cx="612072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1" path="m0,0l-2147483645,0l-2147483645,-2147483646l0,-2147483646xe" fillcolor="white" stroked="t" o:allowincell="f" style="position:absolute;margin-left:0pt;margin-top:-1.6pt;width:481.9pt;height:1.5pt;mso-wrap-style:none;v-text-anchor:middle;mso-position-vertical:top">
                <v:fill o:detectmouseclick="t" type="solid" color2="black"/>
                <v:stroke color="black" joinstyle="round" endcap="flat"/>
                <w10:wrap type="square"/>
              </v:rect>
            </w:pict>
          </mc:Fallback>
        </mc:AlternateContent>
      </w:r>
    </w:p>
    <w:p>
      <w:pPr>
        <w:pStyle w:val="FirstParagraph"/>
        <w:rPr>
          <w:b/>
          <w:b/>
          <w:bCs/>
        </w:rPr>
      </w:pPr>
      <w:r>
        <w:rPr>
          <w:b/>
          <w:bCs/>
        </w:rPr>
      </w:r>
      <w:r>
        <w:br w:type="page"/>
      </w:r>
    </w:p>
    <w:p>
      <w:pPr>
        <w:pStyle w:val="Ttulododocumento"/>
        <w:rPr/>
      </w:pPr>
      <w:r>
        <w:rPr/>
        <w:t>Sample size for the verification of possible Interleukin-6 circadian rhythm in Alpha-1 Antitrypsin deficient patients</w:t>
      </w:r>
    </w:p>
    <w:p>
      <w:pPr>
        <w:pStyle w:val="Corpodotexto"/>
        <w:rPr/>
      </w:pPr>
      <w:r>
        <w:rPr>
          <w:b/>
          <w:bCs/>
        </w:rPr>
        <w:t>Document version</w:t>
      </w:r>
    </w:p>
    <w:tbl>
      <w:tblPr>
        <w:tblStyle w:val="Table"/>
        <w:tblW w:w="9638"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70"/>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587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58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1905" cy="20320"/>
                <wp:effectExtent l="0" t="0" r="0" b="0"/>
                <wp:docPr id="2" name="Forma2"/>
                <a:graphic xmlns:a="http://schemas.openxmlformats.org/drawingml/2006/main">
                  <a:graphicData uri="http://schemas.microsoft.com/office/word/2010/wordprocessingShape">
                    <wps:wsp>
                      <wps:cNvSpPr/>
                      <wps:spPr>
                        <a:xfrm>
                          <a:off x="0" y="0"/>
                          <a:ext cx="1440" cy="1980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Forma2" path="m0,0l-2147483645,0l-2147483645,-2147483646l0,-2147483646xe" fillcolor="white" stroked="t" o:allowincell="f" style="position:absolute;margin-left:0pt;margin-top:-1.6pt;width:0.05pt;height:1.5pt;mso-wrap-style:none;v-text-anchor:middle;mso-position-vertical:top">
                <v:fill o:detectmouseclick="t" type="solid" color2="black"/>
                <v:stroke color="black" joinstyle="round" endcap="flat"/>
                <w10:wrap type="square"/>
              </v:rect>
            </w:pict>
          </mc:Fallback>
        </mc:AlternateContent>
      </w:r>
    </w:p>
    <w:p>
      <w:pPr>
        <w:pStyle w:val="Ttulo1"/>
        <w:rPr/>
      </w:pPr>
      <w:bookmarkStart w:id="0" w:name="__RefHeading___Toc2523_3043853047"/>
      <w:bookmarkEnd w:id="0"/>
      <w:r>
        <w:rPr/>
        <w:t>Abbreviations</w:t>
      </w:r>
    </w:p>
    <w:p>
      <w:pPr>
        <w:pStyle w:val="Compact"/>
        <w:numPr>
          <w:ilvl w:val="0"/>
          <w:numId w:val="2"/>
        </w:numPr>
        <w:rPr/>
      </w:pPr>
      <w:r>
        <w:rPr/>
        <w:t>CI: confidence interval</w:t>
      </w:r>
    </w:p>
    <w:p>
      <w:pPr>
        <w:pStyle w:val="Compact"/>
        <w:numPr>
          <w:ilvl w:val="0"/>
          <w:numId w:val="2"/>
        </w:numPr>
        <w:rPr/>
      </w:pPr>
      <w:r>
        <w:rPr/>
        <w:t>d: Cohen’s D effect size</w:t>
      </w:r>
    </w:p>
    <w:p>
      <w:pPr>
        <w:pStyle w:val="Compact"/>
        <w:numPr>
          <w:ilvl w:val="0"/>
          <w:numId w:val="2"/>
        </w:numPr>
        <w:rPr/>
      </w:pPr>
      <w:r>
        <w:rPr/>
        <w:t>SD: standard deviation</w:t>
      </w:r>
      <w:bookmarkStart w:id="1" w:name="abbreviations"/>
      <w:bookmarkEnd w:id="1"/>
    </w:p>
    <w:p>
      <w:pPr>
        <w:pStyle w:val="Ttulo1"/>
        <w:rPr/>
      </w:pPr>
      <w:bookmarkStart w:id="2" w:name="__RefHeading___Toc2525_3043853047"/>
      <w:bookmarkEnd w:id="2"/>
      <w:r>
        <w:rPr/>
        <w:t>Context</w:t>
      </w:r>
    </w:p>
    <w:p>
      <w:pPr>
        <w:pStyle w:val="Ttulo2"/>
        <w:rPr/>
      </w:pPr>
      <w:bookmarkStart w:id="3" w:name="__RefHeading___Toc2527_3043853047"/>
      <w:bookmarkEnd w:id="3"/>
      <w:r>
        <w:rPr/>
        <w:t>Objectives</w:t>
      </w:r>
    </w:p>
    <w:p>
      <w:pPr>
        <w:pStyle w:val="FirstParagraph"/>
        <w:rPr/>
      </w:pPr>
      <w:r>
        <w:rPr/>
        <w:t>Determine the sample size to detect the difference of the daily range of Interleukin-6 blood levels between Alpha-1 Antitrypsin deficient and healthy patients.</w:t>
      </w:r>
      <w:bookmarkStart w:id="4" w:name="objectives"/>
      <w:bookmarkEnd w:id="4"/>
    </w:p>
    <w:p>
      <w:pPr>
        <w:pStyle w:val="Ttulo2"/>
        <w:rPr/>
      </w:pPr>
      <w:bookmarkStart w:id="5" w:name="__RefHeading___Toc2529_3043853047"/>
      <w:bookmarkEnd w:id="5"/>
      <w:r>
        <w:rPr/>
        <w:t>Hypotheses</w:t>
      </w:r>
    </w:p>
    <w:p>
      <w:pPr>
        <w:pStyle w:val="FirstParagraph"/>
        <w:rPr/>
      </w:pPr>
      <w:r>
        <w:rPr/>
        <w:t>The circadian rhythm in patients induces a detectable amplitude between peak and lower daily IL6 levels. The average IL6 daily amplitudes differ between Alpha-1 Antitrypsin deficient and healthy patients.</w:t>
      </w:r>
      <w:bookmarkStart w:id="6" w:name="hypotheses"/>
      <w:bookmarkStart w:id="7" w:name="context"/>
      <w:bookmarkEnd w:id="6"/>
      <w:bookmarkEnd w:id="7"/>
    </w:p>
    <w:p>
      <w:pPr>
        <w:pStyle w:val="Ttulo1"/>
        <w:rPr/>
      </w:pPr>
      <w:bookmarkStart w:id="8" w:name="__RefHeading___Toc2531_3043853047"/>
      <w:bookmarkEnd w:id="8"/>
      <w:r>
        <w:rPr/>
        <w:t>Data</w:t>
      </w:r>
    </w:p>
    <w:p>
      <w:pPr>
        <w:pStyle w:val="Ttulo2"/>
        <w:rPr/>
      </w:pPr>
      <w:bookmarkStart w:id="9" w:name="__RefHeading___Toc2533_3043853047"/>
      <w:bookmarkEnd w:id="9"/>
      <w:r>
        <w:rPr/>
        <w:t>Raw data</w:t>
      </w:r>
    </w:p>
    <w:p>
      <w:pPr>
        <w:pStyle w:val="FirstParagraph"/>
        <w:rPr/>
      </w:pPr>
      <w:r>
        <w:rPr/>
        <w:t>A unique study ID will be created for each participant to allow tracking of consecutive IL6 blood level measurements. IL6 data of each participant will be collected at three different times per day. Each datum will have its respective date and time of speciment collection recorded. Participant demographic characteristics to be collected are the group to with they belong (AAT-defficient or healthy), the date of birth, sex and BMI at the date of inclusion.</w:t>
      </w:r>
    </w:p>
    <w:p>
      <w:pPr>
        <w:pStyle w:val="Corpodotexto"/>
        <w:rPr/>
      </w:pPr>
      <w:r>
        <w:rPr/>
        <w:t>After the cleaning process the raw data will include 13 variables. Table 1 shows the structure of the raw dataset.</w:t>
      </w:r>
    </w:p>
    <w:p>
      <w:pPr>
        <w:pStyle w:val="TableCaption"/>
        <w:rPr/>
      </w:pPr>
      <w:r>
        <w:rPr>
          <w:b/>
          <w:bCs/>
        </w:rPr>
        <w:t>Table 1</w:t>
      </w:r>
      <w:r>
        <w:rPr/>
        <w:t xml:space="preserve"> Raw dataset structure.</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10"/>
        <w:gridCol w:w="581"/>
        <w:gridCol w:w="402"/>
        <w:gridCol w:w="400"/>
        <w:gridCol w:w="402"/>
        <w:gridCol w:w="490"/>
        <w:gridCol w:w="942"/>
        <w:gridCol w:w="1210"/>
        <w:gridCol w:w="941"/>
        <w:gridCol w:w="1212"/>
        <w:gridCol w:w="940"/>
        <w:gridCol w:w="1175"/>
        <w:gridCol w:w="740"/>
      </w:tblGrid>
      <w:tr>
        <w:trPr/>
        <w:tc>
          <w:tcPr>
            <w:tcW w:w="31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58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group</w:t>
            </w:r>
          </w:p>
        </w:tc>
        <w:tc>
          <w:tcPr>
            <w:tcW w:w="40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sex</w:t>
            </w:r>
          </w:p>
        </w:tc>
        <w:tc>
          <w:tcPr>
            <w:tcW w:w="40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dob</w:t>
            </w:r>
          </w:p>
        </w:tc>
        <w:tc>
          <w:tcPr>
            <w:tcW w:w="40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bmi</w:t>
            </w:r>
          </w:p>
        </w:tc>
        <w:tc>
          <w:tcPr>
            <w:tcW w:w="49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date</w:t>
            </w:r>
          </w:p>
        </w:tc>
        <w:tc>
          <w:tcPr>
            <w:tcW w:w="94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il6_time1</w:t>
            </w:r>
          </w:p>
        </w:tc>
        <w:tc>
          <w:tcPr>
            <w:tcW w:w="121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il6_measure1</w:t>
            </w:r>
          </w:p>
        </w:tc>
        <w:tc>
          <w:tcPr>
            <w:tcW w:w="94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il6_time2</w:t>
            </w:r>
          </w:p>
        </w:tc>
        <w:tc>
          <w:tcPr>
            <w:tcW w:w="121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il6_measure2</w:t>
            </w:r>
          </w:p>
        </w:tc>
        <w:tc>
          <w:tcPr>
            <w:tcW w:w="94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il6_time3</w:t>
            </w:r>
          </w:p>
        </w:tc>
        <w:tc>
          <w:tcPr>
            <w:tcW w:w="117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il6_measure3</w:t>
            </w:r>
          </w:p>
        </w:tc>
        <w:tc>
          <w:tcPr>
            <w:tcW w:w="74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outcome</w:t>
            </w:r>
          </w:p>
        </w:tc>
      </w:tr>
      <w:tr>
        <w:trPr/>
        <w:tc>
          <w:tcPr>
            <w:tcW w:w="31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58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9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1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1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7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31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58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9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1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1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7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31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58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9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1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1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7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31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58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9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1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1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7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31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n</w:t>
            </w:r>
          </w:p>
        </w:tc>
        <w:tc>
          <w:tcPr>
            <w:tcW w:w="58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0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49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1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21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94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175"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4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bookmarkStart w:id="10" w:name="raw-data"/>
            <w:bookmarkStart w:id="11" w:name="raw-data"/>
            <w:bookmarkEnd w:id="11"/>
          </w:p>
        </w:tc>
      </w:tr>
    </w:tbl>
    <w:p>
      <w:pPr>
        <w:pStyle w:val="Ttulo2"/>
        <w:rPr/>
      </w:pPr>
      <w:bookmarkStart w:id="12" w:name="__RefHeading___Toc2535_3043853047"/>
      <w:bookmarkEnd w:id="12"/>
      <w:r>
        <w:rPr/>
        <w:t>Analytical dataset</w:t>
      </w:r>
    </w:p>
    <w:p>
      <w:pPr>
        <w:pStyle w:val="FirstParagraph"/>
        <w:rPr/>
      </w:pPr>
      <w:r>
        <w:rPr/>
        <w:t>Age at inclusion will be computed between the date of birth and the date of the first specimen collection.</w:t>
      </w:r>
    </w:p>
    <w:p>
      <w:pPr>
        <w:pStyle w:val="Corpodotexto"/>
        <w:rPr/>
      </w:pPr>
      <w:r>
        <w:rPr/>
        <w:t>For each patient the peak level and the lower level of IL6 measurements will be calculated. The peak level (respectively, lower level) of each patient’s IL6 will be calculated as the average of all peak level (respectively, lower level) measurements. The amplitude of each patient’s IL6 blood level will be calculated as the difference between peak level and lower level.</w:t>
      </w:r>
    </w:p>
    <w:p>
      <w:pPr>
        <w:pStyle w:val="Corpodotexto"/>
        <w:rPr/>
      </w:pPr>
      <w:r>
        <w:rPr/>
        <w:t>All variables in the analytical set will be labeled according to the raw data provided and values were labeled according to the data dictionary for the preparation of production-quality results tables and figures.</w:t>
      </w:r>
    </w:p>
    <w:p>
      <w:pPr>
        <w:pStyle w:val="Corpodotexto"/>
        <w:rPr/>
      </w:pPr>
      <w:r>
        <w:rPr/>
        <w:t>The analytical dataset will be included in the private version of the report, and will be omitted from the public version of the report.</w:t>
      </w:r>
      <w:bookmarkStart w:id="13" w:name="data"/>
      <w:bookmarkEnd w:id="13"/>
    </w:p>
    <w:p>
      <w:pPr>
        <w:pStyle w:val="Ttulo1"/>
        <w:rPr/>
      </w:pPr>
      <w:bookmarkStart w:id="14" w:name="__RefHeading___Toc2537_3043853047"/>
      <w:bookmarkEnd w:id="14"/>
      <w:r>
        <w:rPr/>
        <w:t>Study variables</w:t>
      </w:r>
    </w:p>
    <w:p>
      <w:pPr>
        <w:pStyle w:val="Ttulo2"/>
        <w:rPr/>
      </w:pPr>
      <w:bookmarkStart w:id="15" w:name="__RefHeading___Toc2539_3043853047"/>
      <w:bookmarkEnd w:id="15"/>
      <w:r>
        <w:rPr/>
        <w:t>Primary and secondary outcomes</w:t>
      </w:r>
    </w:p>
    <w:p>
      <w:pPr>
        <w:pStyle w:val="FirstParagraph"/>
        <w:rPr/>
      </w:pPr>
      <w:r>
        <w:rPr/>
        <w:t>The primary outcome for the detection of a circadian rhythm will be defined as the amplitude of the IL6 blood level which will be calculated as the difference between the peak level and the lower level of daily measurements.</w:t>
      </w:r>
    </w:p>
    <w:p>
      <w:pPr>
        <w:pStyle w:val="Corpodotexto"/>
        <w:rPr/>
      </w:pPr>
      <w:r>
        <w:rPr/>
        <w:t>The secondary outcome will be defined as the the difference between the average IL6 daily amplitude between healthy and AAT-deficient patients.</w:t>
      </w:r>
      <w:bookmarkStart w:id="16" w:name="primary-and-secondary-outcomes"/>
      <w:bookmarkEnd w:id="16"/>
    </w:p>
    <w:p>
      <w:pPr>
        <w:pStyle w:val="Ttulo2"/>
        <w:rPr/>
      </w:pPr>
      <w:bookmarkStart w:id="17" w:name="__RefHeading___Toc2541_3043853047"/>
      <w:bookmarkEnd w:id="17"/>
      <w:r>
        <w:rPr/>
        <w:t>Covariates</w:t>
      </w:r>
    </w:p>
    <w:p>
      <w:pPr>
        <w:pStyle w:val="FirstParagraph"/>
        <w:rPr/>
      </w:pPr>
      <w:r>
        <w:rPr/>
        <w:t>No covariates will be considered for the sample size calculation. Age, sex and BMI will be used to adjust the estimates of the primary and secondary outcomes. Both raw and adjusted estimates will be computed.</w:t>
      </w:r>
      <w:bookmarkStart w:id="18" w:name="covariates"/>
      <w:bookmarkStart w:id="19" w:name="study-variables"/>
      <w:bookmarkEnd w:id="18"/>
      <w:bookmarkEnd w:id="19"/>
    </w:p>
    <w:p>
      <w:pPr>
        <w:pStyle w:val="Ttulo1"/>
        <w:rPr/>
      </w:pPr>
      <w:bookmarkStart w:id="20" w:name="__RefHeading___Toc2543_3043853047"/>
      <w:bookmarkEnd w:id="20"/>
      <w:r>
        <w:rPr/>
        <w:t>Statistical methods</w:t>
      </w:r>
    </w:p>
    <w:p>
      <w:pPr>
        <w:pStyle w:val="Ttulo2"/>
        <w:rPr/>
      </w:pPr>
      <w:bookmarkStart w:id="21" w:name="__RefHeading___Toc2545_3043853047"/>
      <w:bookmarkEnd w:id="21"/>
      <w:r>
        <w:rPr/>
        <w:t>Statistical analyses</w:t>
      </w:r>
    </w:p>
    <w:p>
      <w:pPr>
        <w:pStyle w:val="Ttulo3"/>
        <w:rPr/>
      </w:pPr>
      <w:bookmarkStart w:id="22" w:name="__RefHeading___Toc2547_3043853047"/>
      <w:bookmarkEnd w:id="22"/>
      <w:r>
        <w:rPr/>
        <w:t>Descriptive analyses</w:t>
      </w:r>
    </w:p>
    <w:p>
      <w:pPr>
        <w:pStyle w:val="FirstParagraph"/>
        <w:rPr/>
      </w:pPr>
      <w:r>
        <w:rPr/>
        <w:t>N/A</w:t>
      </w:r>
      <w:bookmarkStart w:id="23" w:name="descriptive-analyses"/>
      <w:bookmarkEnd w:id="23"/>
    </w:p>
    <w:p>
      <w:pPr>
        <w:pStyle w:val="Ttulo3"/>
        <w:rPr/>
      </w:pPr>
      <w:bookmarkStart w:id="24" w:name="__RefHeading___Toc2549_3043853047"/>
      <w:bookmarkEnd w:id="24"/>
      <w:r>
        <w:rPr/>
        <w:t>Inferential analyses</w:t>
      </w:r>
    </w:p>
    <w:p>
      <w:pPr>
        <w:pStyle w:val="FirstParagraph"/>
        <w:rPr/>
      </w:pPr>
      <w:r>
        <w:rPr/>
        <w:t>N/A</w:t>
      </w:r>
      <w:bookmarkStart w:id="25" w:name="inferential-analyses"/>
      <w:bookmarkEnd w:id="25"/>
    </w:p>
    <w:p>
      <w:pPr>
        <w:pStyle w:val="Ttulo3"/>
        <w:rPr/>
      </w:pPr>
      <w:bookmarkStart w:id="26" w:name="__RefHeading___Toc2551_3043853047"/>
      <w:bookmarkEnd w:id="26"/>
      <w:r>
        <w:rPr/>
        <w:t>Statistical modeling</w:t>
      </w:r>
    </w:p>
    <w:p>
      <w:pPr>
        <w:pStyle w:val="FirstParagraph"/>
        <w:rPr/>
      </w:pPr>
      <w:r>
        <w:rPr/>
        <w:t>N/A</w:t>
      </w:r>
      <w:bookmarkStart w:id="27" w:name="statistical-modeling"/>
      <w:bookmarkStart w:id="28" w:name="statistical-analyses"/>
      <w:bookmarkEnd w:id="27"/>
      <w:bookmarkEnd w:id="28"/>
    </w:p>
    <w:p>
      <w:pPr>
        <w:pStyle w:val="Ttulo2"/>
        <w:rPr/>
      </w:pPr>
      <w:bookmarkStart w:id="29" w:name="__RefHeading___Toc2553_3043853047"/>
      <w:bookmarkEnd w:id="29"/>
      <w:r>
        <w:rPr/>
        <w:t>Significance and Confidence Intervals</w:t>
      </w:r>
    </w:p>
    <w:p>
      <w:pPr>
        <w:pStyle w:val="FirstParagraph"/>
        <w:rPr/>
      </w:pPr>
      <w:r>
        <w:rPr/>
        <w:t xml:space="preserve">All analyses will be performed using the significance level of 5%. All significance hypothesis tests and confidence intervals computed will be two-tailed.  </w:t>
      </w:r>
      <w:bookmarkStart w:id="30" w:name="significance-and-confidence-intervals"/>
      <w:bookmarkEnd w:id="30"/>
    </w:p>
    <w:p>
      <w:pPr>
        <w:pStyle w:val="Ttulo2"/>
        <w:rPr/>
      </w:pPr>
      <w:bookmarkStart w:id="31" w:name="__RefHeading___Toc2555_3043853047"/>
      <w:bookmarkEnd w:id="31"/>
      <w:r>
        <w:rPr/>
        <w:t>Study size and Power</w:t>
      </w:r>
    </w:p>
    <w:p>
      <w:pPr>
        <w:pStyle w:val="FirstParagraph"/>
        <w:rPr/>
      </w:pPr>
      <w:r>
        <w:rPr/>
      </w:r>
      <w:bookmarkStart w:id="32" w:name="study-size-and-power"/>
      <w:bookmarkStart w:id="33" w:name="study-size-and-power"/>
      <w:bookmarkEnd w:id="33"/>
    </w:p>
    <w:p>
      <w:pPr>
        <w:pStyle w:val="Ttulo2"/>
        <w:rPr/>
      </w:pPr>
      <w:bookmarkStart w:id="34" w:name="__RefHeading___Toc2557_3043853047"/>
      <w:bookmarkEnd w:id="34"/>
      <w:r>
        <w:rPr/>
        <w:t>Statistical packages</w:t>
      </w:r>
    </w:p>
    <w:p>
      <w:pPr>
        <w:pStyle w:val="FirstParagraph"/>
        <w:rPr/>
      </w:pPr>
      <w:r>
        <w:rPr/>
        <w:t xml:space="preserve">This analysis will be performed using statistical software </w:t>
      </w:r>
      <w:r>
        <w:rPr>
          <w:rStyle w:val="VerbatimChar"/>
        </w:rPr>
        <w:t>R</w:t>
      </w:r>
      <w:r>
        <w:rPr/>
        <w:t xml:space="preserve"> version 4.1.2.</w:t>
      </w:r>
      <w:bookmarkStart w:id="35" w:name="statistical-packages"/>
      <w:bookmarkStart w:id="36" w:name="statistical-methods"/>
      <w:bookmarkEnd w:id="35"/>
      <w:bookmarkEnd w:id="36"/>
    </w:p>
    <w:p>
      <w:pPr>
        <w:pStyle w:val="Ttulo1"/>
        <w:rPr/>
      </w:pPr>
      <w:bookmarkStart w:id="37" w:name="__RefHeading___Toc2559_3043853047"/>
      <w:bookmarkEnd w:id="37"/>
      <w:r>
        <w:rPr/>
        <w:t>Observations and limitations</w:t>
      </w:r>
    </w:p>
    <w:p>
      <w:pPr>
        <w:pStyle w:val="FirstParagraph"/>
        <w:rPr/>
      </w:pPr>
      <w:r>
        <w:rPr>
          <w:b/>
          <w:bCs/>
        </w:rPr>
        <w:t>Direction of the difference</w:t>
      </w:r>
    </w:p>
    <w:p>
      <w:pPr>
        <w:pStyle w:val="Corpodotexto"/>
        <w:rPr/>
      </w:pPr>
      <w:r>
        <w:rPr/>
        <w:t>The AAT deficient patient IL6 blood levels may be hypothesized to be lower (higher) than the levels observed healthy patients. If this hypothesis holds, a left tailed (right tailed) test will have more statistical power to detect significant differences than a two-tailed test. If there is support in the literature for an educated guess on the direction of the difference this could improve the chance of having significant p-values in the final analysis, at the risk of not detecting a difference in the other direction.</w:t>
      </w:r>
    </w:p>
    <w:p>
      <w:pPr>
        <w:pStyle w:val="Corpodotexto"/>
        <w:rPr/>
      </w:pPr>
      <w:r>
        <w:rPr/>
        <w:t>For example, if the hypothesis is specified in the left direction (group of interest has lower levels of IL6 than the healthy group) and the actual observed levels indicate that the group of interest has higher levels of inflammatory biomarkers, then the actual difference will likely not be significant in the study. It is recommended that such decision be made with caution.</w:t>
      </w:r>
      <w:bookmarkStart w:id="38" w:name="observations-and-limitations"/>
      <w:bookmarkEnd w:id="38"/>
    </w:p>
    <w:p>
      <w:pPr>
        <w:pStyle w:val="Ttulo1"/>
        <w:rPr/>
      </w:pPr>
      <w:bookmarkStart w:id="39" w:name="__RefHeading___Toc2561_3043853047"/>
      <w:bookmarkEnd w:id="39"/>
      <w:r>
        <w:rPr/>
        <w:t>References</w:t>
      </w:r>
    </w:p>
    <w:p>
      <w:pPr>
        <w:pStyle w:val="Compact"/>
        <w:numPr>
          <w:ilvl w:val="0"/>
          <w:numId w:val="4"/>
        </w:numPr>
        <w:rPr/>
      </w:pPr>
      <w:r>
        <w:rPr>
          <w:b/>
          <w:bCs/>
        </w:rPr>
        <w:t>SAR-2021-020-LH-v01</w:t>
      </w:r>
      <w:r>
        <w:rPr/>
        <w:t xml:space="preserve"> – Sample size for the verification of possible Interleukin-6 circadian rhythm in Alpha-1 Antitrypsin deficient patients </w:t>
      </w:r>
      <w:bookmarkStart w:id="40" w:name="references"/>
      <w:bookmarkEnd w:id="40"/>
    </w:p>
    <w:p>
      <w:pPr>
        <w:pStyle w:val="Ttulo1"/>
        <w:rPr/>
      </w:pPr>
      <w:bookmarkStart w:id="41" w:name="__RefHeading___Toc2563_3043853047"/>
      <w:bookmarkEnd w:id="41"/>
      <w:r>
        <w:rPr/>
        <w:t>Appendix</w:t>
      </w:r>
    </w:p>
    <w:p>
      <w:pPr>
        <w:pStyle w:val="Ttulo2"/>
        <w:rPr/>
      </w:pPr>
      <w:bookmarkStart w:id="42" w:name="__RefHeading___Toc2565_3043853047"/>
      <w:bookmarkEnd w:id="42"/>
      <w:r>
        <w:rPr/>
        <w:t>Availability</w:t>
      </w:r>
    </w:p>
    <w:p>
      <w:pPr>
        <w:pStyle w:val="FirstParagraph"/>
        <w:rPr/>
      </w:pPr>
      <w:r>
        <w:rPr/>
        <w:t>Both this analytical plan and the corresponding analysis report (</w:t>
      </w:r>
      <w:r>
        <w:rPr>
          <w:b/>
          <w:bCs/>
        </w:rPr>
        <w:t>SAR-2021-020-LH-v01</w:t>
      </w:r>
      <w:r>
        <w:rPr/>
        <w:t>) can be downloaded in the following address:</w:t>
      </w:r>
    </w:p>
    <w:p>
      <w:pPr>
        <w:pStyle w:val="Corpodotexto"/>
        <w:spacing w:before="180" w:after="180"/>
        <w:rPr/>
      </w:pPr>
      <w:hyperlink r:id="rId2">
        <w:r>
          <w:rPr>
            <w:rStyle w:val="LinkdaInternet"/>
          </w:rPr>
          <w:t>https://philsf-biostat.github.io/SAR-2021-020-LH/</w:t>
        </w:r>
      </w:hyperlink>
      <w:bookmarkStart w:id="43" w:name="appendix"/>
      <w:bookmarkEnd w:id="43"/>
    </w:p>
    <w:sectPr>
      <w:headerReference w:type="default" r:id="rId3"/>
      <w:footerReference w:type="default" r:id="rId4"/>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5" name="Forma5"/>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5"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3"/>
      <w:gridCol w:w="200"/>
      <w:gridCol w:w="640"/>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3"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40"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DATE \@"yyyy" </w:instrText>
          </w:r>
          <w:r>
            <w:rPr/>
            <w:fldChar w:fldCharType="separate"/>
          </w:r>
          <w:r>
            <w:rPr/>
            <w:t>2021</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PAGE </w:instrText>
          </w:r>
          <w:r>
            <w:rPr>
              <w:lang w:val="en-US" w:eastAsia="en-US" w:bidi="ar-SA"/>
            </w:rPr>
            <w:fldChar w:fldCharType="separate"/>
          </w:r>
          <w:r>
            <w:rPr>
              <w:lang w:val="en-US" w:eastAsia="en-US" w:bidi="ar-SA"/>
            </w:rPr>
            <w:t>5</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NUMPAGES </w:instrText>
          </w:r>
          <w:r>
            <w:rPr>
              <w:lang w:val="en-US" w:eastAsia="en-US" w:bidi="ar-SA"/>
            </w:rPr>
            <w:fldChar w:fldCharType="separate"/>
          </w:r>
          <w:r>
            <w:rPr>
              <w:lang w:val="en-US" w:eastAsia="en-US" w:bidi="ar-SA"/>
            </w:rPr>
            <w:t>5</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o:allowincell="f" style="position:absolute;margin-left:7.7pt;margin-top:236.4pt;width:466.5pt;height:164.3pt;mso-wrap-style:none;v-text-anchor:middle;rotation:315;mso-position-horizontal:center;mso-position-horizontal-relative:margin;mso-position-vertical:center;mso-position-vertical-relative:margin" type="_x0000_t136">
          <v:path textpathok="t"/>
          <v:textpath on="t" fitshape="t" string="DRAFT" trim="t" style="font-family:&quot;Ubuntu&quot;;font-size:1pt"/>
          <v:fill o:detectmouseclick="t" type="solid" color2="#3f3f3f" opacity="0.5"/>
          <v:stroke color="#3465a4" joinstyle="round" endcap="flat"/>
          <w10:wrap type="none"/>
        </v:shape>
      </w:pict>
      <mc:AlternateContent>
        <mc:Choice Requires="wps">
          <w:drawing>
            <wp:inline distT="0" distB="0" distL="0" distR="0">
              <wp:extent cx="6136005" cy="34925"/>
              <wp:effectExtent l="0" t="0" r="0" b="0"/>
              <wp:docPr id="4" name="Forma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tulodosumrio">
    <w:name w:val="TOC Heading"/>
    <w:basedOn w:val="Ttulo1"/>
    <w:next w:val="Corpodotexto"/>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spacing w:before="0" w:after="113"/>
      <w:ind w:left="0" w:hanging="0"/>
    </w:pPr>
    <w:rPr>
      <w:rFonts w:ascii="Ubuntu" w:hAnsi="Ubuntu"/>
      <w:caps/>
      <w:sz w:val="20"/>
    </w:rPr>
  </w:style>
  <w:style w:type="paragraph" w:styleId="Sumrio2">
    <w:name w:val="TOC 2"/>
    <w:basedOn w:val="Ndice"/>
    <w:pPr>
      <w:tabs>
        <w:tab w:val="clear" w:pos="720"/>
        <w:tab w:val="right" w:pos="9077" w:leader="dot"/>
      </w:tabs>
      <w:spacing w:before="0" w:after="113"/>
      <w:ind w:left="283" w:hanging="0"/>
    </w:pPr>
    <w:rPr>
      <w:rFonts w:ascii="Ubuntu" w:hAnsi="Ubuntu"/>
      <w:sz w:val="20"/>
    </w:rPr>
  </w:style>
  <w:style w:type="paragraph" w:styleId="Sumrio3">
    <w:name w:val="TOC 3"/>
    <w:basedOn w:val="Ndice"/>
    <w:pPr>
      <w:tabs>
        <w:tab w:val="clear" w:pos="720"/>
        <w:tab w:val="right" w:pos="8794" w:leader="dot"/>
      </w:tabs>
      <w:spacing w:before="0" w:after="113"/>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hilsf-biostat.github.io/SAR-2021-020-LH/"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Application>LibreOffice/7.2.3.2$Linux_X86_64 LibreOffice_project/20$Build-2</Application>
  <AppVersion>15.0000</AppVersion>
  <Pages>5</Pages>
  <Words>863</Words>
  <Characters>4789</Characters>
  <CharactersWithSpaces>5607</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2021-12-15T16:21:09Z</dcterms:created>
  <dc:creator>From: Felipe Figueiredo To: lameesehadda (fiverr.com)</dc:creator>
  <dc:description/>
  <dc:language>pt-BR</dc:language>
  <cp:lastModifiedBy>Felipe Figueiredo</cp:lastModifiedBy>
  <dcterms:modified xsi:type="dcterms:W3CDTF">2021-12-15T13:29:40Z</dcterms:modified>
  <cp:revision>3</cp:revision>
  <dc:subject/>
  <dc:title>Sample size for the verification of possible Interleukin-6 circadian rhythm in Alpha-1 Antitrypsin deficient patients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2021-12-15</vt:lpwstr>
  </property>
  <property fmtid="{D5CDD505-2E9C-101B-9397-08002B2CF9AE}" pid="3" name="output">
    <vt:lpwstr/>
  </property>
  <property fmtid="{D5CDD505-2E9C-101B-9397-08002B2CF9AE}" pid="4" name="subtitle">
    <vt:lpwstr>DOCUMENT: SAP-2021-020-LH-v01</vt:lpwstr>
  </property>
</Properties>
</file>