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lang w:val="pt-BR"/>
        </w:rPr>
      </w:pPr>
      <w:r>
        <w:rPr>
          <w:lang w:val="pt-BR"/>
        </w:rPr>
        <w:t>Preparo da base de dados de estudo retrospectivo de complicações após revisão de artroplastia total de quadril em idosos</w:t>
      </w:r>
    </w:p>
    <w:p>
      <w:pPr>
        <w:pStyle w:val="Subtitle"/>
        <w:rPr>
          <w:lang w:val="pt-BR"/>
        </w:rPr>
      </w:pPr>
      <w:r>
        <w:rPr>
          <w:lang w:val="pt-BR"/>
        </w:rPr>
        <w:t>DOCUMENTO: SAR-2021-023-LP-v01</w:t>
      </w:r>
    </w:p>
    <w:p>
      <w:pPr>
        <w:pStyle w:val="Author"/>
        <w:rPr>
          <w:lang w:val="pt-BR"/>
        </w:rPr>
      </w:pPr>
      <w:r>
        <w:rPr>
          <w:b/>
          <w:bCs/>
          <w:lang w:val="pt-BR"/>
        </w:rPr>
        <w:t>De:</w:t>
      </w:r>
      <w:r>
        <w:rPr>
          <w:lang w:val="pt-BR"/>
        </w:rPr>
        <w:t xml:space="preserve"> Felipe Figueiredo </w:t>
      </w:r>
      <w:r>
        <w:rPr>
          <w:b/>
          <w:bCs/>
          <w:lang w:val="pt-BR"/>
        </w:rPr>
        <w:t>Para:</w:t>
      </w:r>
      <w:r>
        <w:rPr>
          <w:lang w:val="pt-BR"/>
        </w:rPr>
        <w:t xml:space="preserve"> Lourenço Peixoto</w:t>
      </w:r>
    </w:p>
    <w:p>
      <w:pPr>
        <w:pStyle w:val="Date"/>
        <w:rPr>
          <w:lang w:val="pt-BR"/>
        </w:rPr>
      </w:pPr>
      <w:r>
        <w:rPr>
          <w:lang w:val="pt-BR"/>
        </w:rPr>
        <w:t>2022-02-02</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Sumário</w:t>
          </w:r>
        </w:p>
        <w:p>
          <w:pPr>
            <w:pStyle w:val="Contents1"/>
            <w:tabs>
              <w:tab w:val="clear" w:pos="9360"/>
              <w:tab w:val="right" w:pos="9638" w:leader="dot"/>
            </w:tabs>
            <w:rPr/>
          </w:pPr>
          <w:r>
            <w:fldChar w:fldCharType="begin"/>
          </w:r>
          <w:r>
            <w:rPr>
              <w:rStyle w:val="IndexLink"/>
            </w:rPr>
            <w:instrText xml:space="preserve"> TOC \o "1-2" \h</w:instrText>
          </w:r>
          <w:r>
            <w:rPr>
              <w:rStyle w:val="IndexLink"/>
            </w:rPr>
            <w:fldChar w:fldCharType="separate"/>
          </w:r>
          <w:hyperlink w:anchor="__RefHeading___Toc13886_4259880419">
            <w:r>
              <w:rPr>
                <w:rStyle w:val="IndexLink"/>
              </w:rPr>
              <w:t xml:space="preserve"> </w:t>
            </w:r>
            <w:r>
              <w:rPr>
                <w:rStyle w:val="IndexLink"/>
              </w:rPr>
              <w:t>1  Lista de abreviaturas</w:t>
              <w:tab/>
              <w:t>2</w:t>
            </w:r>
          </w:hyperlink>
        </w:p>
        <w:p>
          <w:pPr>
            <w:pStyle w:val="Contents1"/>
            <w:tabs>
              <w:tab w:val="clear" w:pos="9360"/>
              <w:tab w:val="right" w:pos="9638" w:leader="dot"/>
            </w:tabs>
            <w:rPr/>
          </w:pPr>
          <w:hyperlink w:anchor="__RefHeading___Toc13888_4259880419">
            <w:r>
              <w:rPr>
                <w:rStyle w:val="IndexLink"/>
              </w:rPr>
              <w:t xml:space="preserve"> </w:t>
            </w:r>
            <w:r>
              <w:rPr>
                <w:rStyle w:val="IndexLink"/>
              </w:rPr>
              <w:t>2  Contexto</w:t>
              <w:tab/>
              <w:t>2</w:t>
            </w:r>
          </w:hyperlink>
        </w:p>
        <w:p>
          <w:pPr>
            <w:pStyle w:val="Contents2"/>
            <w:tabs>
              <w:tab w:val="clear" w:pos="9077"/>
              <w:tab w:val="right" w:pos="9638" w:leader="dot"/>
            </w:tabs>
            <w:rPr/>
          </w:pPr>
          <w:hyperlink w:anchor="__RefHeading___Toc13890_4259880419">
            <w:r>
              <w:rPr>
                <w:rStyle w:val="IndexLink"/>
              </w:rPr>
              <w:t xml:space="preserve"> </w:t>
            </w:r>
            <w:r>
              <w:rPr>
                <w:rStyle w:val="IndexLink"/>
              </w:rPr>
              <w:t>2.1  Objetivos</w:t>
              <w:tab/>
              <w:t>2</w:t>
            </w:r>
          </w:hyperlink>
        </w:p>
        <w:p>
          <w:pPr>
            <w:pStyle w:val="Contents2"/>
            <w:tabs>
              <w:tab w:val="clear" w:pos="9077"/>
              <w:tab w:val="right" w:pos="9638" w:leader="dot"/>
            </w:tabs>
            <w:rPr/>
          </w:pPr>
          <w:hyperlink w:anchor="__RefHeading___Toc13892_4259880419">
            <w:r>
              <w:rPr>
                <w:rStyle w:val="IndexLink"/>
              </w:rPr>
              <w:t xml:space="preserve"> </w:t>
            </w:r>
            <w:r>
              <w:rPr>
                <w:rStyle w:val="IndexLink"/>
              </w:rPr>
              <w:t>2.2  Recepção e tratamento dos dados</w:t>
              <w:tab/>
              <w:t>2</w:t>
            </w:r>
          </w:hyperlink>
        </w:p>
        <w:p>
          <w:pPr>
            <w:pStyle w:val="Contents1"/>
            <w:tabs>
              <w:tab w:val="clear" w:pos="9360"/>
              <w:tab w:val="right" w:pos="9638" w:leader="dot"/>
            </w:tabs>
            <w:rPr/>
          </w:pPr>
          <w:hyperlink w:anchor="__RefHeading___Toc13894_4259880419">
            <w:r>
              <w:rPr>
                <w:rStyle w:val="IndexLink"/>
              </w:rPr>
              <w:t xml:space="preserve"> </w:t>
            </w:r>
            <w:r>
              <w:rPr>
                <w:rStyle w:val="IndexLink"/>
              </w:rPr>
              <w:t>3  Metodologia</w:t>
              <w:tab/>
              <w:t>3</w:t>
            </w:r>
          </w:hyperlink>
        </w:p>
        <w:p>
          <w:pPr>
            <w:pStyle w:val="Contents2"/>
            <w:tabs>
              <w:tab w:val="clear" w:pos="9077"/>
              <w:tab w:val="right" w:pos="9638" w:leader="dot"/>
            </w:tabs>
            <w:rPr/>
          </w:pPr>
          <w:hyperlink w:anchor="__RefHeading___Toc13896_4259880419">
            <w:r>
              <w:rPr>
                <w:rStyle w:val="IndexLink"/>
              </w:rPr>
              <w:t xml:space="preserve"> </w:t>
            </w:r>
            <w:r>
              <w:rPr>
                <w:rStyle w:val="IndexLink"/>
              </w:rPr>
              <w:t>3.1  Variáveis</w:t>
              <w:tab/>
              <w:t>3</w:t>
            </w:r>
          </w:hyperlink>
        </w:p>
        <w:p>
          <w:pPr>
            <w:pStyle w:val="Contents2"/>
            <w:tabs>
              <w:tab w:val="clear" w:pos="9077"/>
              <w:tab w:val="right" w:pos="9638" w:leader="dot"/>
            </w:tabs>
            <w:rPr/>
          </w:pPr>
          <w:hyperlink w:anchor="__RefHeading___Toc13902_4259880419">
            <w:r>
              <w:rPr>
                <w:rStyle w:val="IndexLink"/>
              </w:rPr>
              <w:t xml:space="preserve"> </w:t>
            </w:r>
            <w:r>
              <w:rPr>
                <w:rStyle w:val="IndexLink"/>
              </w:rPr>
              <w:t>3.2  Expressões regulares</w:t>
              <w:tab/>
              <w:t>3</w:t>
            </w:r>
          </w:hyperlink>
        </w:p>
        <w:p>
          <w:pPr>
            <w:pStyle w:val="Contents2"/>
            <w:tabs>
              <w:tab w:val="clear" w:pos="9077"/>
              <w:tab w:val="right" w:pos="9638" w:leader="dot"/>
            </w:tabs>
            <w:rPr/>
          </w:pPr>
          <w:hyperlink w:anchor="__RefHeading___Toc13904_4259880419">
            <w:r>
              <w:rPr>
                <w:rStyle w:val="IndexLink"/>
              </w:rPr>
              <w:t xml:space="preserve"> </w:t>
            </w:r>
            <w:r>
              <w:rPr>
                <w:rStyle w:val="IndexLink"/>
              </w:rPr>
              <w:t>3.3  Software utilizado</w:t>
              <w:tab/>
              <w:t>3</w:t>
            </w:r>
          </w:hyperlink>
        </w:p>
        <w:p>
          <w:pPr>
            <w:pStyle w:val="Contents1"/>
            <w:tabs>
              <w:tab w:val="clear" w:pos="9360"/>
              <w:tab w:val="right" w:pos="9638" w:leader="dot"/>
            </w:tabs>
            <w:rPr/>
          </w:pPr>
          <w:hyperlink w:anchor="__RefHeading___Toc13906_4259880419">
            <w:r>
              <w:rPr>
                <w:rStyle w:val="IndexLink"/>
              </w:rPr>
              <w:t xml:space="preserve"> </w:t>
            </w:r>
            <w:r>
              <w:rPr>
                <w:rStyle w:val="IndexLink"/>
              </w:rPr>
              <w:t>4  Estratégia de busca</w:t>
              <w:tab/>
              <w:t>4</w:t>
            </w:r>
          </w:hyperlink>
        </w:p>
        <w:p>
          <w:pPr>
            <w:pStyle w:val="Contents2"/>
            <w:tabs>
              <w:tab w:val="clear" w:pos="9077"/>
              <w:tab w:val="right" w:pos="9638" w:leader="dot"/>
            </w:tabs>
            <w:rPr/>
          </w:pPr>
          <w:hyperlink w:anchor="__RefHeading___Toc13908_4259880419">
            <w:r>
              <w:rPr>
                <w:rStyle w:val="IndexLink"/>
              </w:rPr>
              <w:t xml:space="preserve"> </w:t>
            </w:r>
            <w:r>
              <w:rPr>
                <w:rStyle w:val="IndexLink"/>
              </w:rPr>
              <w:t>4.1  Complicações individuais</w:t>
              <w:tab/>
              <w:t>4</w:t>
            </w:r>
          </w:hyperlink>
        </w:p>
        <w:p>
          <w:pPr>
            <w:pStyle w:val="Contents2"/>
            <w:tabs>
              <w:tab w:val="clear" w:pos="9077"/>
              <w:tab w:val="right" w:pos="9638" w:leader="dot"/>
            </w:tabs>
            <w:rPr/>
          </w:pPr>
          <w:hyperlink w:anchor="__RefHeading___Toc13940_4259880419">
            <w:r>
              <w:rPr>
                <w:rStyle w:val="IndexLink"/>
              </w:rPr>
              <w:t xml:space="preserve"> </w:t>
            </w:r>
            <w:r>
              <w:rPr>
                <w:rStyle w:val="IndexLink"/>
              </w:rPr>
              <w:t>4.2  Qualquer complicação</w:t>
              <w:tab/>
              <w:t>6</w:t>
            </w:r>
          </w:hyperlink>
        </w:p>
        <w:p>
          <w:pPr>
            <w:pStyle w:val="Contents1"/>
            <w:tabs>
              <w:tab w:val="clear" w:pos="9360"/>
              <w:tab w:val="right" w:pos="9638" w:leader="dot"/>
            </w:tabs>
            <w:rPr/>
          </w:pPr>
          <w:hyperlink w:anchor="__RefHeading___Toc13942_4259880419">
            <w:r>
              <w:rPr>
                <w:rStyle w:val="IndexLink"/>
              </w:rPr>
              <w:t xml:space="preserve"> </w:t>
            </w:r>
            <w:r>
              <w:rPr>
                <w:rStyle w:val="IndexLink"/>
              </w:rPr>
              <w:t>5  Observações e limitações</w:t>
              <w:tab/>
              <w:t>6</w:t>
            </w:r>
          </w:hyperlink>
        </w:p>
        <w:p>
          <w:pPr>
            <w:pStyle w:val="Contents1"/>
            <w:tabs>
              <w:tab w:val="clear" w:pos="9360"/>
              <w:tab w:val="right" w:pos="9638" w:leader="dot"/>
            </w:tabs>
            <w:rPr/>
          </w:pPr>
          <w:hyperlink w:anchor="__RefHeading___Toc13944_4259880419">
            <w:r>
              <w:rPr>
                <w:rStyle w:val="IndexLink"/>
              </w:rPr>
              <w:t xml:space="preserve"> </w:t>
            </w:r>
            <w:r>
              <w:rPr>
                <w:rStyle w:val="IndexLink"/>
              </w:rPr>
              <w:t>6  Referências</w:t>
              <w:tab/>
              <w:t>7</w:t>
            </w:r>
          </w:hyperlink>
        </w:p>
        <w:p>
          <w:pPr>
            <w:pStyle w:val="Contents1"/>
            <w:tabs>
              <w:tab w:val="clear" w:pos="9360"/>
              <w:tab w:val="right" w:pos="9638" w:leader="dot"/>
            </w:tabs>
            <w:rPr/>
          </w:pPr>
          <w:hyperlink w:anchor="__RefHeading___Toc13946_4259880419">
            <w:r>
              <w:rPr>
                <w:rStyle w:val="IndexLink"/>
              </w:rPr>
              <w:t xml:space="preserve"> </w:t>
            </w:r>
            <w:r>
              <w:rPr>
                <w:rStyle w:val="IndexLink"/>
              </w:rPr>
              <w:t>7  Apêndice</w:t>
              <w:tab/>
              <w:t>7</w:t>
            </w:r>
          </w:hyperlink>
        </w:p>
        <w:p>
          <w:pPr>
            <w:pStyle w:val="Contents2"/>
            <w:tabs>
              <w:tab w:val="clear" w:pos="9077"/>
              <w:tab w:val="right" w:pos="9638" w:leader="dot"/>
            </w:tabs>
            <w:rPr/>
          </w:pPr>
          <w:hyperlink w:anchor="__RefHeading___Toc13948_4259880419">
            <w:r>
              <w:rPr>
                <w:rStyle w:val="IndexLink"/>
              </w:rPr>
              <w:t xml:space="preserve"> </w:t>
            </w:r>
            <w:r>
              <w:rPr>
                <w:rStyle w:val="IndexLink"/>
              </w:rPr>
              <w:t>7.1  Análise exploratória de dados</w:t>
              <w:tab/>
              <w:t>7</w:t>
            </w:r>
          </w:hyperlink>
        </w:p>
        <w:p>
          <w:pPr>
            <w:pStyle w:val="Contents2"/>
            <w:tabs>
              <w:tab w:val="clear" w:pos="9077"/>
              <w:tab w:val="right" w:pos="9638" w:leader="dot"/>
            </w:tabs>
            <w:rPr/>
          </w:pPr>
          <w:hyperlink w:anchor="__RefHeading___Toc13950_4259880419">
            <w:r>
              <w:rPr>
                <w:rStyle w:val="IndexLink"/>
              </w:rPr>
              <w:t xml:space="preserve"> </w:t>
            </w:r>
            <w:r>
              <w:rPr>
                <w:rStyle w:val="IndexLink"/>
              </w:rPr>
              <w:t>7.2  Disponibilidade</w:t>
              <w:tab/>
              <w:t>7</w:t>
            </w:r>
          </w:hyperlink>
        </w:p>
        <w:p>
          <w:pPr>
            <w:pStyle w:val="Contents2"/>
            <w:tabs>
              <w:tab w:val="clear" w:pos="9077"/>
              <w:tab w:val="right" w:pos="9638" w:leader="dot"/>
            </w:tabs>
            <w:rPr/>
          </w:pPr>
          <w:hyperlink w:anchor="__RefHeading___Toc13952_4259880419">
            <w:r>
              <w:rPr>
                <w:rStyle w:val="IndexLink"/>
              </w:rPr>
              <w:t xml:space="preserve"> </w:t>
            </w:r>
            <w:r>
              <w:rPr>
                <w:rStyle w:val="IndexLink"/>
              </w:rPr>
              <w:t>7.3  Dados utilizados</w:t>
              <w:tab/>
              <w:t>7</w:t>
            </w:r>
          </w:hyperlink>
          <w:r>
            <w:rPr>
              <w:rStyle w:val="IndexLink"/>
            </w:rPr>
            <w:fldChar w:fldCharType="end"/>
          </w:r>
        </w:p>
      </w:sdtContent>
    </w:sdt>
    <w:p>
      <w:pPr>
        <w:pStyle w:val="Normal"/>
        <w:rPr>
          <w:lang w:val="pt-BR"/>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lang w:val="pt-BR"/>
        </w:rPr>
      </w:pPr>
      <w:r>
        <w:rPr>
          <w:lang w:val="pt-BR"/>
        </w:rPr>
      </w:r>
      <w:r>
        <w:br w:type="page"/>
      </w:r>
    </w:p>
    <w:p>
      <w:pPr>
        <w:pStyle w:val="FirstParagraph"/>
        <w:rPr>
          <w:lang w:val="pt-BR"/>
        </w:rPr>
      </w:pPr>
      <w:r>
        <w:rPr>
          <w:b/>
          <w:bCs/>
          <w:lang w:val="pt-BR"/>
        </w:rPr>
        <w:t>Preparo da base de dados de estudo retrospectivo de complicações após revisão de artroplastia total de quadril em idosos</w:t>
      </w:r>
    </w:p>
    <w:p>
      <w:pPr>
        <w:pStyle w:val="TextBody"/>
        <w:rPr>
          <w:lang w:val="pt-BR"/>
        </w:rPr>
      </w:pPr>
      <w:r>
        <w:rPr>
          <w:b/>
          <w:bCs/>
          <w:lang w:val="pt-BR"/>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b/>
                <w:bCs/>
                <w:i w:val="false"/>
                <w:iCs w:val="false"/>
                <w:strike w:val="false"/>
                <w:dstrike w:val="false"/>
                <w:outline w:val="false"/>
                <w:shadow w:val="false"/>
                <w:color w:val="000000"/>
                <w:sz w:val="22"/>
                <w:szCs w:val="22"/>
                <w:u w:val="none"/>
                <w:lang w:val="pt-BR"/>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b/>
                <w:bCs/>
                <w:i w:val="false"/>
                <w:iCs w:val="false"/>
                <w:strike w:val="false"/>
                <w:dstrike w:val="false"/>
                <w:outline w:val="false"/>
                <w:shadow w:val="false"/>
                <w:color w:val="000000"/>
                <w:sz w:val="22"/>
                <w:szCs w:val="22"/>
                <w:u w:val="none"/>
                <w:lang w:val="pt-BR"/>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b w:val="false"/>
                <w:bCs w:val="false"/>
                <w:i w:val="false"/>
                <w:iCs w:val="false"/>
                <w:strike w:val="false"/>
                <w:dstrike w:val="false"/>
                <w:outline w:val="false"/>
                <w:shadow w:val="false"/>
                <w:color w:val="000000"/>
                <w:sz w:val="22"/>
                <w:szCs w:val="22"/>
                <w:u w:val="none"/>
                <w:lang w:val="pt-BR"/>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b w:val="false"/>
                <w:bCs w:val="false"/>
                <w:i w:val="false"/>
                <w:iCs w:val="false"/>
                <w:strike w:val="false"/>
                <w:dstrike w:val="false"/>
                <w:outline w:val="false"/>
                <w:shadow w:val="false"/>
                <w:color w:val="000000"/>
                <w:sz w:val="22"/>
                <w:szCs w:val="22"/>
                <w:u w:val="none"/>
                <w:lang w:val="pt-BR"/>
              </w:rPr>
              <w:t>Versão inicial</w:t>
            </w:r>
          </w:p>
        </w:tc>
      </w:tr>
    </w:tbl>
    <w:p>
      <w:pPr>
        <w:pStyle w:val="Normal"/>
        <w:rPr>
          <w:lang w:val="pt-BR"/>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rPr>
      </w:pPr>
      <w:bookmarkStart w:id="0" w:name="__RefHeading___Toc13886_4259880419"/>
      <w:bookmarkEnd w:id="0"/>
      <w:r>
        <w:rPr>
          <w:lang w:val="pt-BR"/>
        </w:rPr>
        <w:t>Lista de abreviaturas</w:t>
      </w:r>
    </w:p>
    <w:p>
      <w:pPr>
        <w:pStyle w:val="Compact"/>
        <w:numPr>
          <w:ilvl w:val="0"/>
          <w:numId w:val="2"/>
        </w:numPr>
        <w:rPr>
          <w:lang w:val="pt-BR"/>
        </w:rPr>
      </w:pPr>
      <w:r>
        <w:rPr>
          <w:lang w:val="pt-BR"/>
        </w:rPr>
        <w:t>ATQ: artroplastia total de quadril</w:t>
      </w:r>
    </w:p>
    <w:p>
      <w:pPr>
        <w:pStyle w:val="Compact"/>
        <w:numPr>
          <w:ilvl w:val="0"/>
          <w:numId w:val="2"/>
        </w:numPr>
        <w:rPr>
          <w:lang w:val="pt-BR"/>
        </w:rPr>
      </w:pPr>
      <w:r>
        <w:rPr>
          <w:lang w:val="pt-BR"/>
        </w:rPr>
        <w:t>FX:</w:t>
      </w:r>
    </w:p>
    <w:p>
      <w:pPr>
        <w:pStyle w:val="Compact"/>
        <w:numPr>
          <w:ilvl w:val="0"/>
          <w:numId w:val="2"/>
        </w:numPr>
        <w:rPr>
          <w:lang w:val="pt-BR"/>
        </w:rPr>
      </w:pPr>
      <w:r>
        <w:rPr>
          <w:lang w:val="pt-BR"/>
        </w:rPr>
        <w:t>TEV: tromboembolismo venoso</w:t>
      </w:r>
    </w:p>
    <w:p>
      <w:pPr>
        <w:pStyle w:val="Compact"/>
        <w:numPr>
          <w:ilvl w:val="0"/>
          <w:numId w:val="2"/>
        </w:numPr>
        <w:rPr>
          <w:lang w:val="pt-BR"/>
        </w:rPr>
      </w:pPr>
      <w:r>
        <w:rPr>
          <w:lang w:val="pt-BR"/>
        </w:rPr>
        <w:t>TEP: tromboembolia pulmonar</w:t>
      </w:r>
    </w:p>
    <w:p>
      <w:pPr>
        <w:pStyle w:val="Compact"/>
        <w:numPr>
          <w:ilvl w:val="0"/>
          <w:numId w:val="2"/>
        </w:numPr>
        <w:rPr>
          <w:lang w:val="pt-BR"/>
        </w:rPr>
      </w:pPr>
      <w:r>
        <w:rPr>
          <w:lang w:val="pt-BR"/>
        </w:rPr>
        <w:t>TVP: trombose venosa profunda</w:t>
      </w:r>
    </w:p>
    <w:p>
      <w:pPr>
        <w:pStyle w:val="Compact"/>
        <w:numPr>
          <w:ilvl w:val="0"/>
          <w:numId w:val="2"/>
        </w:numPr>
        <w:rPr>
          <w:lang w:val="pt-BR"/>
        </w:rPr>
      </w:pPr>
      <w:bookmarkStart w:id="1" w:name="lista-de-abreviaturas"/>
      <w:r>
        <w:rPr>
          <w:lang w:val="pt-BR"/>
        </w:rPr>
        <w:t>ITU:</w:t>
      </w:r>
      <w:bookmarkEnd w:id="1"/>
    </w:p>
    <w:p>
      <w:pPr>
        <w:pStyle w:val="Heading1"/>
        <w:rPr>
          <w:lang w:val="pt-BR"/>
        </w:rPr>
      </w:pPr>
      <w:bookmarkStart w:id="2" w:name="__RefHeading___Toc13888_4259880419"/>
      <w:bookmarkEnd w:id="2"/>
      <w:r>
        <w:rPr>
          <w:lang w:val="pt-BR"/>
        </w:rPr>
        <w:t>Contexto</w:t>
      </w:r>
    </w:p>
    <w:p>
      <w:pPr>
        <w:pStyle w:val="FirstParagraph"/>
        <w:rPr>
          <w:lang w:val="pt-BR"/>
        </w:rPr>
      </w:pPr>
      <w:r>
        <w:rPr>
          <w:lang w:val="pt-BR"/>
        </w:rPr>
        <w:t>O projeto “Artroplastia total do Quadril em septuagenários, complicações e resultados a curto prazo” identificará ocorrências de complicações após ATQ em pacientes septuagenários quando comparados a pacientes de faixas etárias inferiores. As complicações foram descritas de maneira qualitativa em campo de texto aberto, onde havia a possibilidade de múltiplas observações para um mesmo paciente. Para a análise das ocorrências das complicações, elas precisam ser codificadas como variáveis dicotômicas.</w:t>
      </w:r>
    </w:p>
    <w:p>
      <w:pPr>
        <w:pStyle w:val="TextBody"/>
        <w:rPr>
          <w:lang w:val="pt-BR"/>
        </w:rPr>
      </w:pPr>
      <w:r>
        <w:rPr>
          <w:lang w:val="pt-BR"/>
        </w:rPr>
        <w:t>Este relatório técnico descreve como as complicações foram identificadas na base de dados original, em campo de texto aberto, usando expressões regulares.</w:t>
      </w:r>
    </w:p>
    <w:p>
      <w:pPr>
        <w:pStyle w:val="Heading2"/>
        <w:rPr>
          <w:lang w:val="pt-BR"/>
        </w:rPr>
      </w:pPr>
      <w:bookmarkStart w:id="3" w:name="__RefHeading___Toc13890_4259880419"/>
      <w:bookmarkEnd w:id="3"/>
      <w:r>
        <w:rPr>
          <w:lang w:val="pt-BR"/>
        </w:rPr>
        <w:t>Objetivos</w:t>
      </w:r>
    </w:p>
    <w:p>
      <w:pPr>
        <w:pStyle w:val="FirstParagraph"/>
        <w:rPr>
          <w:lang w:val="pt-BR"/>
        </w:rPr>
      </w:pPr>
      <w:bookmarkStart w:id="4" w:name="objetivos"/>
      <w:r>
        <w:rPr>
          <w:lang w:val="pt-BR"/>
        </w:rPr>
        <w:t>Limpeza da base de dados e identificação de cada tipo de complicação pós-cirúrgica dos participantes incluídos na base com chaves de busca por expressões regulares.</w:t>
      </w:r>
      <w:bookmarkEnd w:id="4"/>
    </w:p>
    <w:p>
      <w:pPr>
        <w:pStyle w:val="Heading2"/>
        <w:rPr>
          <w:lang w:val="pt-BR"/>
        </w:rPr>
      </w:pPr>
      <w:bookmarkStart w:id="5" w:name="__RefHeading___Toc13892_4259880419"/>
      <w:bookmarkEnd w:id="5"/>
      <w:r>
        <w:rPr>
          <w:lang w:val="pt-BR"/>
        </w:rPr>
        <w:t>Recepção e tratamento dos dados</w:t>
      </w:r>
    </w:p>
    <w:p>
      <w:pPr>
        <w:pStyle w:val="FirstParagraph"/>
        <w:rPr>
          <w:lang w:val="pt-BR"/>
        </w:rPr>
      </w:pPr>
      <w:bookmarkStart w:id="6" w:name="contexto"/>
      <w:bookmarkStart w:id="7" w:name="recepção-e-tratamento-dos-dados"/>
      <w:r>
        <w:rPr>
          <w:lang w:val="pt-BR"/>
        </w:rPr>
        <w:t>A base de dados original possuía 21 variáveis coletadas de 926 observações. Depois dos procedimentos de limpeza e seleção a base final contava com 38 variáveis de 926 observações. Nenhuma variável foi removida no preparo da base, e a diferença é composta apenas pelas novas variáveis indicadoras criadas para classificar todas as possíveis complicações em cada participante incluído na base. Nenhuma observação foi excluída como parte dos processos de limpeza de dados.</w:t>
      </w:r>
      <w:bookmarkEnd w:id="6"/>
      <w:bookmarkEnd w:id="7"/>
    </w:p>
    <w:p>
      <w:pPr>
        <w:pStyle w:val="Heading1"/>
        <w:rPr>
          <w:lang w:val="pt-BR"/>
        </w:rPr>
      </w:pPr>
      <w:bookmarkStart w:id="8" w:name="__RefHeading___Toc13894_4259880419"/>
      <w:bookmarkStart w:id="9" w:name="metodologia"/>
      <w:bookmarkEnd w:id="8"/>
      <w:r>
        <w:rPr>
          <w:lang w:val="pt-BR"/>
        </w:rPr>
        <w:t>Metodologia</w:t>
      </w:r>
    </w:p>
    <w:p>
      <w:pPr>
        <w:pStyle w:val="Heading2"/>
        <w:rPr>
          <w:lang w:val="pt-BR"/>
        </w:rPr>
      </w:pPr>
      <w:bookmarkStart w:id="10" w:name="__RefHeading___Toc13896_4259880419"/>
      <w:bookmarkEnd w:id="10"/>
      <w:r>
        <w:rPr>
          <w:lang w:val="pt-BR"/>
        </w:rPr>
        <w:t>Variáveis</w:t>
      </w:r>
    </w:p>
    <w:p>
      <w:pPr>
        <w:pStyle w:val="Heading3"/>
        <w:rPr>
          <w:lang w:val="pt-BR"/>
        </w:rPr>
      </w:pPr>
      <w:bookmarkStart w:id="11" w:name="__RefHeading___Toc13898_4259880419"/>
      <w:bookmarkEnd w:id="11"/>
      <w:r>
        <w:rPr>
          <w:lang w:val="pt-BR"/>
        </w:rPr>
        <w:t>Complicações listadas no projeto</w:t>
      </w:r>
    </w:p>
    <w:p>
      <w:pPr>
        <w:pStyle w:val="Compact"/>
        <w:numPr>
          <w:ilvl w:val="0"/>
          <w:numId w:val="38"/>
        </w:numPr>
        <w:rPr>
          <w:lang w:val="pt-BR"/>
        </w:rPr>
      </w:pPr>
      <w:r>
        <w:rPr>
          <w:lang w:val="pt-BR"/>
        </w:rPr>
        <w:t>tromboembolismo venoso</w:t>
      </w:r>
    </w:p>
    <w:p>
      <w:pPr>
        <w:pStyle w:val="Compact"/>
        <w:numPr>
          <w:ilvl w:val="0"/>
          <w:numId w:val="39"/>
        </w:numPr>
        <w:rPr>
          <w:lang w:val="pt-BR"/>
        </w:rPr>
      </w:pPr>
      <w:r>
        <w:rPr>
          <w:lang w:val="pt-BR"/>
        </w:rPr>
        <w:t>embolia pulmonar</w:t>
      </w:r>
    </w:p>
    <w:p>
      <w:pPr>
        <w:pStyle w:val="Compact"/>
        <w:numPr>
          <w:ilvl w:val="0"/>
          <w:numId w:val="40"/>
        </w:numPr>
        <w:rPr>
          <w:lang w:val="pt-BR"/>
        </w:rPr>
      </w:pPr>
      <w:r>
        <w:rPr>
          <w:lang w:val="pt-BR"/>
        </w:rPr>
        <w:t>anemia com necessidade de transfusão sanguínea</w:t>
      </w:r>
    </w:p>
    <w:p>
      <w:pPr>
        <w:pStyle w:val="Compact"/>
        <w:numPr>
          <w:ilvl w:val="0"/>
          <w:numId w:val="41"/>
        </w:numPr>
        <w:rPr>
          <w:lang w:val="pt-BR"/>
        </w:rPr>
      </w:pPr>
      <w:r>
        <w:rPr>
          <w:lang w:val="pt-BR"/>
        </w:rPr>
        <w:t>distúrbios hidroeletrolíticos com repercussão clínica</w:t>
      </w:r>
    </w:p>
    <w:p>
      <w:pPr>
        <w:pStyle w:val="Compact"/>
        <w:numPr>
          <w:ilvl w:val="0"/>
          <w:numId w:val="42"/>
        </w:numPr>
        <w:rPr>
          <w:lang w:val="pt-BR"/>
        </w:rPr>
      </w:pPr>
      <w:r>
        <w:rPr>
          <w:lang w:val="pt-BR"/>
        </w:rPr>
        <w:t>infecção pós operatória</w:t>
      </w:r>
    </w:p>
    <w:p>
      <w:pPr>
        <w:pStyle w:val="Compact"/>
        <w:numPr>
          <w:ilvl w:val="0"/>
          <w:numId w:val="43"/>
        </w:numPr>
        <w:rPr>
          <w:lang w:val="pt-BR"/>
        </w:rPr>
      </w:pPr>
      <w:r>
        <w:rPr>
          <w:lang w:val="pt-BR"/>
        </w:rPr>
        <w:t>deiscência de ferida</w:t>
      </w:r>
    </w:p>
    <w:p>
      <w:pPr>
        <w:pStyle w:val="Compact"/>
        <w:numPr>
          <w:ilvl w:val="0"/>
          <w:numId w:val="44"/>
        </w:numPr>
        <w:rPr>
          <w:lang w:val="pt-BR"/>
        </w:rPr>
      </w:pPr>
      <w:bookmarkStart w:id="12" w:name="complicações-listadas-no-projeto"/>
      <w:r>
        <w:rPr>
          <w:lang w:val="pt-BR"/>
        </w:rPr>
        <w:t>instabilidade (luxação aguda ou crônica)</w:t>
      </w:r>
      <w:bookmarkEnd w:id="12"/>
    </w:p>
    <w:p>
      <w:pPr>
        <w:pStyle w:val="Heading3"/>
        <w:rPr>
          <w:lang w:val="pt-BR"/>
        </w:rPr>
      </w:pPr>
      <w:bookmarkStart w:id="13" w:name="__RefHeading___Toc13900_4259880419"/>
      <w:bookmarkEnd w:id="13"/>
      <w:r>
        <w:rPr>
          <w:lang w:val="pt-BR"/>
        </w:rPr>
        <w:t>Outras complicações</w:t>
      </w:r>
    </w:p>
    <w:p>
      <w:pPr>
        <w:pStyle w:val="Compact"/>
        <w:numPr>
          <w:ilvl w:val="0"/>
          <w:numId w:val="45"/>
        </w:numPr>
        <w:rPr>
          <w:lang w:val="pt-BR"/>
        </w:rPr>
      </w:pPr>
      <w:r>
        <w:rPr>
          <w:lang w:val="pt-BR"/>
        </w:rPr>
        <w:t>TVP</w:t>
      </w:r>
    </w:p>
    <w:p>
      <w:pPr>
        <w:pStyle w:val="Compact"/>
        <w:numPr>
          <w:ilvl w:val="0"/>
          <w:numId w:val="46"/>
        </w:numPr>
        <w:rPr>
          <w:lang w:val="pt-BR"/>
        </w:rPr>
      </w:pPr>
      <w:r>
        <w:rPr>
          <w:lang w:val="pt-BR"/>
        </w:rPr>
        <w:t>óbito</w:t>
      </w:r>
    </w:p>
    <w:p>
      <w:pPr>
        <w:pStyle w:val="Compact"/>
        <w:numPr>
          <w:ilvl w:val="0"/>
          <w:numId w:val="47"/>
        </w:numPr>
        <w:rPr>
          <w:lang w:val="pt-BR"/>
        </w:rPr>
      </w:pPr>
      <w:r>
        <w:rPr>
          <w:lang w:val="pt-BR"/>
        </w:rPr>
        <w:t>delirium</w:t>
      </w:r>
    </w:p>
    <w:p>
      <w:pPr>
        <w:pStyle w:val="Compact"/>
        <w:numPr>
          <w:ilvl w:val="0"/>
          <w:numId w:val="48"/>
        </w:numPr>
        <w:rPr>
          <w:lang w:val="pt-BR"/>
        </w:rPr>
      </w:pPr>
      <w:r>
        <w:rPr>
          <w:lang w:val="pt-BR"/>
        </w:rPr>
        <w:t>ITU</w:t>
      </w:r>
    </w:p>
    <w:p>
      <w:pPr>
        <w:pStyle w:val="Compact"/>
        <w:numPr>
          <w:ilvl w:val="0"/>
          <w:numId w:val="49"/>
        </w:numPr>
        <w:rPr>
          <w:lang w:val="pt-BR"/>
        </w:rPr>
      </w:pPr>
      <w:r>
        <w:rPr>
          <w:lang w:val="pt-BR"/>
        </w:rPr>
        <w:t>sepse</w:t>
      </w:r>
    </w:p>
    <w:p>
      <w:pPr>
        <w:pStyle w:val="Compact"/>
        <w:numPr>
          <w:ilvl w:val="0"/>
          <w:numId w:val="50"/>
        </w:numPr>
        <w:rPr>
          <w:lang w:val="pt-BR"/>
        </w:rPr>
      </w:pPr>
      <w:r>
        <w:rPr>
          <w:lang w:val="pt-BR"/>
        </w:rPr>
        <w:t>pneumonia</w:t>
      </w:r>
    </w:p>
    <w:p>
      <w:pPr>
        <w:pStyle w:val="Compact"/>
        <w:numPr>
          <w:ilvl w:val="0"/>
          <w:numId w:val="51"/>
        </w:numPr>
        <w:rPr>
          <w:lang w:val="pt-BR"/>
        </w:rPr>
      </w:pPr>
      <w:r>
        <w:rPr>
          <w:lang w:val="pt-BR"/>
        </w:rPr>
        <w:t>FX</w:t>
      </w:r>
    </w:p>
    <w:p>
      <w:pPr>
        <w:pStyle w:val="Compact"/>
        <w:numPr>
          <w:ilvl w:val="0"/>
          <w:numId w:val="52"/>
        </w:numPr>
        <w:rPr>
          <w:lang w:val="pt-BR"/>
        </w:rPr>
      </w:pPr>
      <w:bookmarkStart w:id="14" w:name="variáveis"/>
      <w:bookmarkStart w:id="15" w:name="outras-complicações"/>
      <w:r>
        <w:rPr>
          <w:lang w:val="pt-BR"/>
        </w:rPr>
        <w:t>parestesia</w:t>
      </w:r>
      <w:bookmarkEnd w:id="14"/>
      <w:bookmarkEnd w:id="15"/>
    </w:p>
    <w:p>
      <w:pPr>
        <w:pStyle w:val="Heading2"/>
        <w:rPr>
          <w:lang w:val="pt-BR"/>
        </w:rPr>
      </w:pPr>
      <w:bookmarkStart w:id="16" w:name="__RefHeading___Toc13902_4259880419"/>
      <w:bookmarkEnd w:id="16"/>
      <w:r>
        <w:rPr>
          <w:lang w:val="pt-BR"/>
        </w:rPr>
        <w:t>Expressões regulares</w:t>
      </w:r>
    </w:p>
    <w:p>
      <w:pPr>
        <w:pStyle w:val="FirstParagraph"/>
        <w:rPr>
          <w:lang w:val="pt-BR"/>
        </w:rPr>
      </w:pPr>
      <w:r>
        <w:rPr>
          <w:lang w:val="pt-BR"/>
        </w:rPr>
        <w:t>Expressões regulares permitem fazer buscas em texto por palavras-chave de forma flexível, permitindo considerar variações de grafia, maiúsculas e minúsculas entre outras coisas. Ao definir chaves de busca específicas para cada complicação, é possível identificar a presença da chave de busca no texto original.</w:t>
      </w:r>
    </w:p>
    <w:p>
      <w:pPr>
        <w:pStyle w:val="TextBody"/>
        <w:rPr>
          <w:lang w:val="pt-BR"/>
        </w:rPr>
      </w:pPr>
      <w:bookmarkStart w:id="17" w:name="expressões-regulares"/>
      <w:r>
        <w:rPr>
          <w:lang w:val="pt-BR"/>
        </w:rPr>
        <w:t>Esta estratégia além de flexível também é expansível e permite ampliar a estratégia de busca que objetiva identificar cada complicação alvo. Na seção 4 serão descritas as chaves de busca usadas para identificação de cada uma das complicações listadas na seção 3.1.</w:t>
      </w:r>
      <w:bookmarkEnd w:id="17"/>
    </w:p>
    <w:p>
      <w:pPr>
        <w:pStyle w:val="Heading2"/>
        <w:rPr>
          <w:lang w:val="pt-BR"/>
        </w:rPr>
      </w:pPr>
      <w:bookmarkStart w:id="18" w:name="__RefHeading___Toc13904_4259880419"/>
      <w:bookmarkStart w:id="19" w:name="software-utilizado"/>
      <w:bookmarkEnd w:id="18"/>
      <w:r>
        <w:rPr>
          <w:lang w:val="pt-BR"/>
        </w:rPr>
        <w:t>Software utilizado</w:t>
      </w:r>
    </w:p>
    <w:p>
      <w:pPr>
        <w:pStyle w:val="FirstParagraph"/>
        <w:rPr/>
      </w:pPr>
      <w:r>
        <w:rPr>
          <w:lang w:val="pt-BR"/>
        </w:rPr>
        <w:t xml:space="preserve">Esta análise foi realizada utilizando-se o software </w:t>
      </w:r>
      <w:r>
        <w:rPr>
          <w:rStyle w:val="VerbatimChar"/>
          <w:lang w:val="pt-BR"/>
        </w:rPr>
        <w:t>R</w:t>
      </w:r>
      <w:r>
        <w:rPr>
          <w:lang w:val="pt-BR"/>
        </w:rPr>
        <w:t xml:space="preserve"> versão 4.1.2.</w:t>
      </w:r>
      <w:bookmarkEnd w:id="9"/>
      <w:bookmarkEnd w:id="19"/>
    </w:p>
    <w:p>
      <w:pPr>
        <w:pStyle w:val="Heading1"/>
        <w:rPr>
          <w:lang w:val="pt-BR"/>
        </w:rPr>
      </w:pPr>
      <w:bookmarkStart w:id="20" w:name="__RefHeading___Toc13906_4259880419"/>
      <w:bookmarkEnd w:id="20"/>
      <w:r>
        <w:rPr>
          <w:lang w:val="pt-BR"/>
        </w:rPr>
        <w:t>Estratégia de busca</w:t>
      </w:r>
    </w:p>
    <w:p>
      <w:pPr>
        <w:pStyle w:val="FirstParagraph"/>
        <w:rPr>
          <w:lang w:val="pt-BR"/>
        </w:rPr>
      </w:pPr>
      <w:r>
        <w:rPr>
          <w:lang w:val="pt-BR"/>
        </w:rPr>
        <w:t>Todas as expressões regulares descritas abaixo foram mapeadas ignorando o caso de grafia, isto é, todas funcionam da mesma forma independente se o texto base foi escrito em maiúsculas ou minúsculas.</w:t>
      </w:r>
    </w:p>
    <w:p>
      <w:pPr>
        <w:pStyle w:val="Heading2"/>
        <w:rPr>
          <w:lang w:val="pt-BR"/>
        </w:rPr>
      </w:pPr>
      <w:bookmarkStart w:id="21" w:name="__RefHeading___Toc13908_4259880419"/>
      <w:bookmarkEnd w:id="21"/>
      <w:r>
        <w:rPr>
          <w:lang w:val="pt-BR"/>
        </w:rPr>
        <w:t>Complicações individuais</w:t>
      </w:r>
    </w:p>
    <w:p>
      <w:pPr>
        <w:pStyle w:val="Heading3"/>
        <w:rPr>
          <w:lang w:val="pt-BR"/>
        </w:rPr>
      </w:pPr>
      <w:bookmarkStart w:id="22" w:name="__RefHeading___Toc13910_4259880419"/>
      <w:bookmarkEnd w:id="22"/>
      <w:r>
        <w:rPr>
          <w:lang w:val="pt-BR"/>
        </w:rPr>
        <w:t>Anemia com necessidade de transfusão sanguínea</w:t>
      </w:r>
    </w:p>
    <w:p>
      <w:pPr>
        <w:pStyle w:val="FirstParagraph"/>
        <w:rPr>
          <w:lang w:val="pt-BR"/>
        </w:rPr>
      </w:pPr>
      <w:r>
        <w:rPr>
          <w:lang w:val="pt-BR"/>
        </w:rPr>
        <w:t>Chaves de busca:</w:t>
      </w:r>
    </w:p>
    <w:p>
      <w:pPr>
        <w:pStyle w:val="Compact"/>
        <w:numPr>
          <w:ilvl w:val="0"/>
          <w:numId w:val="53"/>
        </w:numPr>
        <w:rPr/>
      </w:pPr>
      <w:r>
        <w:rPr>
          <w:rStyle w:val="VerbatimChar"/>
          <w:lang w:val="pt-BR"/>
        </w:rPr>
        <w:t>anemia</w:t>
      </w:r>
    </w:p>
    <w:p>
      <w:pPr>
        <w:pStyle w:val="FirstParagraph"/>
        <w:rPr>
          <w:lang w:val="pt-BR"/>
        </w:rPr>
      </w:pPr>
      <w:bookmarkStart w:id="23" w:name="Xf16548a5a1903d82c629dc80722806444ea0d6e"/>
      <w:r>
        <w:rPr>
          <w:lang w:val="pt-BR"/>
        </w:rPr>
        <w:t>Número de identificações: 18</w:t>
      </w:r>
      <w:bookmarkEnd w:id="23"/>
    </w:p>
    <w:p>
      <w:pPr>
        <w:pStyle w:val="Heading3"/>
        <w:rPr>
          <w:lang w:val="pt-BR"/>
        </w:rPr>
      </w:pPr>
      <w:bookmarkStart w:id="24" w:name="__RefHeading___Toc13912_4259880419"/>
      <w:bookmarkEnd w:id="24"/>
      <w:r>
        <w:rPr>
          <w:lang w:val="pt-BR"/>
        </w:rPr>
        <w:t>Embolia pulmonar</w:t>
      </w:r>
    </w:p>
    <w:p>
      <w:pPr>
        <w:pStyle w:val="FirstParagraph"/>
        <w:rPr>
          <w:lang w:val="pt-BR"/>
        </w:rPr>
      </w:pPr>
      <w:r>
        <w:rPr>
          <w:lang w:val="pt-BR"/>
        </w:rPr>
        <w:t>Chaves de busca:</w:t>
      </w:r>
    </w:p>
    <w:p>
      <w:pPr>
        <w:pStyle w:val="Compact"/>
        <w:numPr>
          <w:ilvl w:val="0"/>
          <w:numId w:val="54"/>
        </w:numPr>
        <w:rPr/>
      </w:pPr>
      <w:r>
        <w:rPr>
          <w:rStyle w:val="VerbatimChar"/>
          <w:lang w:val="pt-BR"/>
        </w:rPr>
        <w:t>tep</w:t>
      </w:r>
    </w:p>
    <w:p>
      <w:pPr>
        <w:pStyle w:val="Compact"/>
        <w:numPr>
          <w:ilvl w:val="0"/>
          <w:numId w:val="55"/>
        </w:numPr>
        <w:rPr/>
      </w:pPr>
      <w:r>
        <w:rPr>
          <w:rStyle w:val="VerbatimChar"/>
          <w:lang w:val="pt-BR"/>
        </w:rPr>
        <w:t>embol</w:t>
      </w:r>
    </w:p>
    <w:p>
      <w:pPr>
        <w:pStyle w:val="FirstParagraph"/>
        <w:rPr>
          <w:lang w:val="pt-BR"/>
        </w:rPr>
      </w:pPr>
      <w:bookmarkStart w:id="25" w:name="embolia-pulmonar"/>
      <w:r>
        <w:rPr>
          <w:lang w:val="pt-BR"/>
        </w:rPr>
        <w:t>Número de identificações: 2</w:t>
      </w:r>
      <w:bookmarkEnd w:id="25"/>
    </w:p>
    <w:p>
      <w:pPr>
        <w:pStyle w:val="Heading3"/>
        <w:rPr>
          <w:lang w:val="pt-BR"/>
        </w:rPr>
      </w:pPr>
      <w:bookmarkStart w:id="26" w:name="__RefHeading___Toc13914_4259880419"/>
      <w:bookmarkEnd w:id="26"/>
      <w:r>
        <w:rPr>
          <w:lang w:val="pt-BR"/>
        </w:rPr>
        <w:t>Tromboembolismo venoso</w:t>
      </w:r>
    </w:p>
    <w:p>
      <w:pPr>
        <w:pStyle w:val="FirstParagraph"/>
        <w:rPr>
          <w:lang w:val="pt-BR"/>
        </w:rPr>
      </w:pPr>
      <w:r>
        <w:rPr>
          <w:lang w:val="pt-BR"/>
        </w:rPr>
        <w:t>Chaves de busca:</w:t>
      </w:r>
    </w:p>
    <w:p>
      <w:pPr>
        <w:pStyle w:val="Compact"/>
        <w:numPr>
          <w:ilvl w:val="0"/>
          <w:numId w:val="56"/>
        </w:numPr>
        <w:rPr/>
      </w:pPr>
      <w:r>
        <w:rPr>
          <w:rStyle w:val="VerbatimChar"/>
          <w:lang w:val="pt-BR"/>
        </w:rPr>
        <w:t>tev</w:t>
      </w:r>
    </w:p>
    <w:p>
      <w:pPr>
        <w:pStyle w:val="FirstParagraph"/>
        <w:rPr>
          <w:lang w:val="pt-BR"/>
        </w:rPr>
      </w:pPr>
      <w:bookmarkStart w:id="27" w:name="tromboembolismo-venoso"/>
      <w:r>
        <w:rPr>
          <w:lang w:val="pt-BR"/>
        </w:rPr>
        <w:t>Número de identificações: 0</w:t>
      </w:r>
      <w:bookmarkEnd w:id="27"/>
    </w:p>
    <w:p>
      <w:pPr>
        <w:pStyle w:val="Heading3"/>
        <w:rPr>
          <w:lang w:val="pt-BR"/>
        </w:rPr>
      </w:pPr>
      <w:bookmarkStart w:id="28" w:name="__RefHeading___Toc13916_4259880419"/>
      <w:bookmarkEnd w:id="28"/>
      <w:r>
        <w:rPr>
          <w:lang w:val="pt-BR"/>
        </w:rPr>
        <w:t>TVP</w:t>
      </w:r>
    </w:p>
    <w:p>
      <w:pPr>
        <w:pStyle w:val="FirstParagraph"/>
        <w:rPr>
          <w:lang w:val="pt-BR"/>
        </w:rPr>
      </w:pPr>
      <w:r>
        <w:rPr>
          <w:lang w:val="pt-BR"/>
        </w:rPr>
        <w:t>Chaves de busca:</w:t>
      </w:r>
    </w:p>
    <w:p>
      <w:pPr>
        <w:pStyle w:val="Compact"/>
        <w:numPr>
          <w:ilvl w:val="0"/>
          <w:numId w:val="57"/>
        </w:numPr>
        <w:rPr/>
      </w:pPr>
      <w:r>
        <w:rPr>
          <w:rStyle w:val="VerbatimChar"/>
          <w:lang w:val="pt-BR"/>
        </w:rPr>
        <w:t>tvp</w:t>
      </w:r>
    </w:p>
    <w:p>
      <w:pPr>
        <w:pStyle w:val="FirstParagraph"/>
        <w:rPr>
          <w:lang w:val="pt-BR"/>
        </w:rPr>
      </w:pPr>
      <w:bookmarkStart w:id="29" w:name="tvp"/>
      <w:r>
        <w:rPr>
          <w:lang w:val="pt-BR"/>
        </w:rPr>
        <w:t>Número de identificações: 5</w:t>
      </w:r>
      <w:bookmarkEnd w:id="29"/>
    </w:p>
    <w:p>
      <w:pPr>
        <w:pStyle w:val="Heading3"/>
        <w:rPr>
          <w:lang w:val="pt-BR"/>
        </w:rPr>
      </w:pPr>
      <w:bookmarkStart w:id="30" w:name="__RefHeading___Toc13918_4259880419"/>
      <w:bookmarkEnd w:id="30"/>
      <w:r>
        <w:rPr>
          <w:lang w:val="pt-BR"/>
        </w:rPr>
        <w:t>Instabilidade (luxação aguda ou crônica)</w:t>
      </w:r>
    </w:p>
    <w:p>
      <w:pPr>
        <w:pStyle w:val="FirstParagraph"/>
        <w:rPr>
          <w:lang w:val="pt-BR"/>
        </w:rPr>
      </w:pPr>
      <w:r>
        <w:rPr>
          <w:lang w:val="pt-BR"/>
        </w:rPr>
        <w:t>Chaves de busca:</w:t>
      </w:r>
    </w:p>
    <w:p>
      <w:pPr>
        <w:pStyle w:val="Compact"/>
        <w:numPr>
          <w:ilvl w:val="0"/>
          <w:numId w:val="58"/>
        </w:numPr>
        <w:rPr/>
      </w:pPr>
      <w:r>
        <w:rPr>
          <w:rStyle w:val="VerbatimChar"/>
          <w:lang w:val="pt-BR"/>
        </w:rPr>
        <w:t>instab</w:t>
      </w:r>
    </w:p>
    <w:p>
      <w:pPr>
        <w:pStyle w:val="Compact"/>
        <w:numPr>
          <w:ilvl w:val="0"/>
          <w:numId w:val="59"/>
        </w:numPr>
        <w:rPr/>
      </w:pPr>
      <w:r>
        <w:rPr>
          <w:rStyle w:val="VerbatimChar"/>
          <w:lang w:val="pt-BR"/>
        </w:rPr>
        <w:t>luxa</w:t>
      </w:r>
    </w:p>
    <w:p>
      <w:pPr>
        <w:pStyle w:val="Compact"/>
        <w:numPr>
          <w:ilvl w:val="0"/>
          <w:numId w:val="60"/>
        </w:numPr>
        <w:rPr/>
      </w:pPr>
      <w:r>
        <w:rPr>
          <w:rStyle w:val="VerbatimChar"/>
          <w:lang w:val="pt-BR"/>
        </w:rPr>
        <w:t>soltura</w:t>
      </w:r>
    </w:p>
    <w:p>
      <w:pPr>
        <w:pStyle w:val="FirstParagraph"/>
        <w:rPr>
          <w:lang w:val="pt-BR"/>
        </w:rPr>
      </w:pPr>
      <w:bookmarkStart w:id="31" w:name="instabilidade-luxação-aguda-ou-crônica"/>
      <w:r>
        <w:rPr>
          <w:lang w:val="pt-BR"/>
        </w:rPr>
        <w:t>Número de identificações: 10</w:t>
      </w:r>
      <w:bookmarkEnd w:id="31"/>
    </w:p>
    <w:p>
      <w:pPr>
        <w:pStyle w:val="Heading3"/>
        <w:rPr>
          <w:lang w:val="pt-BR"/>
        </w:rPr>
      </w:pPr>
      <w:bookmarkStart w:id="32" w:name="__RefHeading___Toc13920_4259880419"/>
      <w:bookmarkEnd w:id="32"/>
      <w:r>
        <w:rPr>
          <w:lang w:val="pt-BR"/>
        </w:rPr>
        <w:t>Deiscência de ferida</w:t>
      </w:r>
    </w:p>
    <w:p>
      <w:pPr>
        <w:pStyle w:val="FirstParagraph"/>
        <w:rPr>
          <w:lang w:val="pt-BR"/>
        </w:rPr>
      </w:pPr>
      <w:r>
        <w:rPr>
          <w:lang w:val="pt-BR"/>
        </w:rPr>
        <w:t>Chaves de busca:</w:t>
      </w:r>
    </w:p>
    <w:p>
      <w:pPr>
        <w:pStyle w:val="Compact"/>
        <w:numPr>
          <w:ilvl w:val="0"/>
          <w:numId w:val="61"/>
        </w:numPr>
        <w:rPr/>
      </w:pPr>
      <w:r>
        <w:rPr>
          <w:rStyle w:val="VerbatimChar"/>
          <w:lang w:val="pt-BR"/>
        </w:rPr>
        <w:t>deisc</w:t>
      </w:r>
    </w:p>
    <w:p>
      <w:pPr>
        <w:pStyle w:val="FirstParagraph"/>
        <w:rPr>
          <w:lang w:val="pt-BR"/>
        </w:rPr>
      </w:pPr>
      <w:bookmarkStart w:id="33" w:name="deiscência-de-ferida"/>
      <w:r>
        <w:rPr>
          <w:lang w:val="pt-BR"/>
        </w:rPr>
        <w:t>Número de identificações: 2</w:t>
      </w:r>
      <w:bookmarkEnd w:id="33"/>
    </w:p>
    <w:p>
      <w:pPr>
        <w:pStyle w:val="Heading3"/>
        <w:rPr>
          <w:lang w:val="pt-BR"/>
        </w:rPr>
      </w:pPr>
      <w:bookmarkStart w:id="34" w:name="__RefHeading___Toc13922_4259880419"/>
      <w:bookmarkEnd w:id="34"/>
      <w:r>
        <w:rPr>
          <w:lang w:val="pt-BR"/>
        </w:rPr>
        <w:t>Infecção pós operatória</w:t>
      </w:r>
    </w:p>
    <w:p>
      <w:pPr>
        <w:pStyle w:val="FirstParagraph"/>
        <w:rPr>
          <w:lang w:val="pt-BR"/>
        </w:rPr>
      </w:pPr>
      <w:r>
        <w:rPr>
          <w:lang w:val="pt-BR"/>
        </w:rPr>
        <w:t>Chaves de busca:</w:t>
      </w:r>
    </w:p>
    <w:p>
      <w:pPr>
        <w:pStyle w:val="Compact"/>
        <w:numPr>
          <w:ilvl w:val="0"/>
          <w:numId w:val="62"/>
        </w:numPr>
        <w:rPr/>
      </w:pPr>
      <w:r>
        <w:rPr>
          <w:rStyle w:val="VerbatimChar"/>
          <w:lang w:val="pt-BR"/>
        </w:rPr>
        <w:t>infec</w:t>
      </w:r>
    </w:p>
    <w:p>
      <w:pPr>
        <w:pStyle w:val="FirstParagraph"/>
        <w:rPr>
          <w:lang w:val="pt-BR"/>
        </w:rPr>
      </w:pPr>
      <w:bookmarkStart w:id="35" w:name="infecção-pós-operatória"/>
      <w:r>
        <w:rPr>
          <w:lang w:val="pt-BR"/>
        </w:rPr>
        <w:t>Número de identificações: 34</w:t>
      </w:r>
      <w:bookmarkEnd w:id="35"/>
    </w:p>
    <w:p>
      <w:pPr>
        <w:pStyle w:val="Heading3"/>
        <w:rPr>
          <w:lang w:val="pt-BR"/>
        </w:rPr>
      </w:pPr>
      <w:bookmarkStart w:id="36" w:name="__RefHeading___Toc13924_4259880419"/>
      <w:bookmarkEnd w:id="36"/>
      <w:r>
        <w:rPr>
          <w:lang w:val="pt-BR"/>
        </w:rPr>
        <w:t>Distúrbios hidroeletrolíticos com repercussão clínica</w:t>
      </w:r>
    </w:p>
    <w:p>
      <w:pPr>
        <w:pStyle w:val="FirstParagraph"/>
        <w:rPr>
          <w:lang w:val="pt-BR"/>
        </w:rPr>
      </w:pPr>
      <w:r>
        <w:rPr>
          <w:lang w:val="pt-BR"/>
        </w:rPr>
        <w:t>Chaves de busca:</w:t>
      </w:r>
    </w:p>
    <w:p>
      <w:pPr>
        <w:pStyle w:val="Compact"/>
        <w:numPr>
          <w:ilvl w:val="0"/>
          <w:numId w:val="63"/>
        </w:numPr>
        <w:rPr/>
      </w:pPr>
      <w:r>
        <w:rPr>
          <w:rStyle w:val="VerbatimChar"/>
          <w:lang w:val="pt-BR"/>
        </w:rPr>
        <w:t>hidro</w:t>
      </w:r>
    </w:p>
    <w:p>
      <w:pPr>
        <w:pStyle w:val="Compact"/>
        <w:numPr>
          <w:ilvl w:val="0"/>
          <w:numId w:val="64"/>
        </w:numPr>
        <w:rPr/>
      </w:pPr>
      <w:r>
        <w:rPr>
          <w:rStyle w:val="VerbatimChar"/>
          <w:lang w:val="pt-BR"/>
        </w:rPr>
        <w:t>eletr[oó]l[íi]t</w:t>
      </w:r>
    </w:p>
    <w:p>
      <w:pPr>
        <w:pStyle w:val="FirstParagraph"/>
        <w:rPr>
          <w:lang w:val="pt-BR"/>
        </w:rPr>
      </w:pPr>
      <w:bookmarkStart w:id="37" w:name="X3315bbfe261e5a81010071135f7d198c0b5cc73"/>
      <w:r>
        <w:rPr>
          <w:lang w:val="pt-BR"/>
        </w:rPr>
        <w:t>Número de identificações: 0</w:t>
      </w:r>
      <w:bookmarkEnd w:id="37"/>
    </w:p>
    <w:p>
      <w:pPr>
        <w:pStyle w:val="Heading3"/>
        <w:rPr>
          <w:lang w:val="pt-BR"/>
        </w:rPr>
      </w:pPr>
      <w:bookmarkStart w:id="38" w:name="__RefHeading___Toc13926_4259880419"/>
      <w:bookmarkEnd w:id="38"/>
      <w:r>
        <w:rPr>
          <w:lang w:val="pt-BR"/>
        </w:rPr>
        <w:t>Delirium</w:t>
      </w:r>
    </w:p>
    <w:p>
      <w:pPr>
        <w:pStyle w:val="FirstParagraph"/>
        <w:rPr>
          <w:lang w:val="pt-BR"/>
        </w:rPr>
      </w:pPr>
      <w:r>
        <w:rPr>
          <w:lang w:val="pt-BR"/>
        </w:rPr>
        <w:t>Chaves de busca:</w:t>
      </w:r>
    </w:p>
    <w:p>
      <w:pPr>
        <w:pStyle w:val="Compact"/>
        <w:numPr>
          <w:ilvl w:val="0"/>
          <w:numId w:val="65"/>
        </w:numPr>
        <w:rPr/>
      </w:pPr>
      <w:r>
        <w:rPr>
          <w:rStyle w:val="VerbatimChar"/>
          <w:lang w:val="pt-BR"/>
        </w:rPr>
        <w:t>delir</w:t>
      </w:r>
    </w:p>
    <w:p>
      <w:pPr>
        <w:pStyle w:val="FirstParagraph"/>
        <w:rPr>
          <w:lang w:val="pt-BR"/>
        </w:rPr>
      </w:pPr>
      <w:bookmarkStart w:id="39" w:name="delirium"/>
      <w:r>
        <w:rPr>
          <w:lang w:val="pt-BR"/>
        </w:rPr>
        <w:t>Número de identificações: 5</w:t>
      </w:r>
      <w:bookmarkEnd w:id="39"/>
    </w:p>
    <w:p>
      <w:pPr>
        <w:pStyle w:val="Heading3"/>
        <w:rPr>
          <w:lang w:val="pt-BR"/>
        </w:rPr>
      </w:pPr>
      <w:bookmarkStart w:id="40" w:name="__RefHeading___Toc13928_4259880419"/>
      <w:bookmarkEnd w:id="40"/>
      <w:r>
        <w:rPr>
          <w:lang w:val="pt-BR"/>
        </w:rPr>
        <w:t>Óbito</w:t>
      </w:r>
    </w:p>
    <w:p>
      <w:pPr>
        <w:pStyle w:val="FirstParagraph"/>
        <w:rPr>
          <w:lang w:val="pt-BR"/>
        </w:rPr>
      </w:pPr>
      <w:r>
        <w:rPr>
          <w:lang w:val="pt-BR"/>
        </w:rPr>
        <w:t>Chaves de busca:</w:t>
      </w:r>
    </w:p>
    <w:p>
      <w:pPr>
        <w:pStyle w:val="Compact"/>
        <w:numPr>
          <w:ilvl w:val="0"/>
          <w:numId w:val="66"/>
        </w:numPr>
        <w:rPr/>
      </w:pPr>
      <w:r>
        <w:rPr>
          <w:rStyle w:val="VerbatimChar"/>
          <w:lang w:val="pt-BR"/>
        </w:rPr>
        <w:t>[óo]bito</w:t>
      </w:r>
    </w:p>
    <w:p>
      <w:pPr>
        <w:pStyle w:val="Compact"/>
        <w:numPr>
          <w:ilvl w:val="0"/>
          <w:numId w:val="67"/>
        </w:numPr>
        <w:rPr/>
      </w:pPr>
      <w:r>
        <w:rPr>
          <w:rStyle w:val="VerbatimChar"/>
          <w:lang w:val="pt-BR"/>
        </w:rPr>
        <w:t>morte</w:t>
      </w:r>
    </w:p>
    <w:p>
      <w:pPr>
        <w:pStyle w:val="FirstParagraph"/>
        <w:rPr>
          <w:lang w:val="pt-BR"/>
        </w:rPr>
      </w:pPr>
      <w:bookmarkStart w:id="41" w:name="óbito"/>
      <w:r>
        <w:rPr>
          <w:lang w:val="pt-BR"/>
        </w:rPr>
        <w:t>Número de identificações: 0</w:t>
      </w:r>
      <w:bookmarkEnd w:id="41"/>
    </w:p>
    <w:p>
      <w:pPr>
        <w:pStyle w:val="Heading3"/>
        <w:rPr>
          <w:lang w:val="pt-BR"/>
        </w:rPr>
      </w:pPr>
      <w:bookmarkStart w:id="42" w:name="__RefHeading___Toc13930_4259880419"/>
      <w:bookmarkEnd w:id="42"/>
      <w:r>
        <w:rPr>
          <w:lang w:val="pt-BR"/>
        </w:rPr>
        <w:t>ITU</w:t>
      </w:r>
    </w:p>
    <w:p>
      <w:pPr>
        <w:pStyle w:val="FirstParagraph"/>
        <w:rPr>
          <w:lang w:val="pt-BR"/>
        </w:rPr>
      </w:pPr>
      <w:r>
        <w:rPr>
          <w:lang w:val="pt-BR"/>
        </w:rPr>
        <w:t>Chaves de busca:</w:t>
      </w:r>
    </w:p>
    <w:p>
      <w:pPr>
        <w:pStyle w:val="Compact"/>
        <w:numPr>
          <w:ilvl w:val="0"/>
          <w:numId w:val="68"/>
        </w:numPr>
        <w:rPr/>
      </w:pPr>
      <w:r>
        <w:rPr>
          <w:rStyle w:val="VerbatimChar"/>
          <w:lang w:val="pt-BR"/>
        </w:rPr>
        <w:t>itu</w:t>
      </w:r>
    </w:p>
    <w:p>
      <w:pPr>
        <w:pStyle w:val="FirstParagraph"/>
        <w:rPr>
          <w:lang w:val="pt-BR"/>
        </w:rPr>
      </w:pPr>
      <w:bookmarkStart w:id="43" w:name="itu"/>
      <w:r>
        <w:rPr>
          <w:lang w:val="pt-BR"/>
        </w:rPr>
        <w:t>Número de identificações: 4</w:t>
      </w:r>
      <w:bookmarkEnd w:id="43"/>
    </w:p>
    <w:p>
      <w:pPr>
        <w:pStyle w:val="Heading3"/>
        <w:rPr>
          <w:lang w:val="pt-BR"/>
        </w:rPr>
      </w:pPr>
      <w:bookmarkStart w:id="44" w:name="__RefHeading___Toc13932_4259880419"/>
      <w:bookmarkEnd w:id="44"/>
      <w:r>
        <w:rPr>
          <w:lang w:val="pt-BR"/>
        </w:rPr>
        <w:t>Sepse</w:t>
      </w:r>
    </w:p>
    <w:p>
      <w:pPr>
        <w:pStyle w:val="FirstParagraph"/>
        <w:rPr>
          <w:lang w:val="pt-BR"/>
        </w:rPr>
      </w:pPr>
      <w:r>
        <w:rPr>
          <w:lang w:val="pt-BR"/>
        </w:rPr>
        <w:t>Chaves de busca:</w:t>
      </w:r>
    </w:p>
    <w:p>
      <w:pPr>
        <w:pStyle w:val="Compact"/>
        <w:numPr>
          <w:ilvl w:val="0"/>
          <w:numId w:val="69"/>
        </w:numPr>
        <w:rPr/>
      </w:pPr>
      <w:r>
        <w:rPr>
          <w:rStyle w:val="VerbatimChar"/>
          <w:lang w:val="pt-BR"/>
        </w:rPr>
        <w:t>s[ée]p[st]</w:t>
      </w:r>
    </w:p>
    <w:p>
      <w:pPr>
        <w:pStyle w:val="FirstParagraph"/>
        <w:rPr>
          <w:lang w:val="pt-BR"/>
        </w:rPr>
      </w:pPr>
      <w:bookmarkStart w:id="45" w:name="sepse"/>
      <w:r>
        <w:rPr>
          <w:lang w:val="pt-BR"/>
        </w:rPr>
        <w:t>Número de identificações: 1</w:t>
      </w:r>
      <w:bookmarkEnd w:id="45"/>
    </w:p>
    <w:p>
      <w:pPr>
        <w:pStyle w:val="Heading3"/>
        <w:rPr>
          <w:lang w:val="pt-BR"/>
        </w:rPr>
      </w:pPr>
      <w:bookmarkStart w:id="46" w:name="__RefHeading___Toc13934_4259880419"/>
      <w:bookmarkEnd w:id="46"/>
      <w:r>
        <w:rPr>
          <w:lang w:val="pt-BR"/>
        </w:rPr>
        <w:t>Pneumonia</w:t>
      </w:r>
    </w:p>
    <w:p>
      <w:pPr>
        <w:pStyle w:val="FirstParagraph"/>
        <w:rPr>
          <w:lang w:val="pt-BR"/>
        </w:rPr>
      </w:pPr>
      <w:r>
        <w:rPr>
          <w:lang w:val="pt-BR"/>
        </w:rPr>
        <w:t>Chaves de busca:</w:t>
      </w:r>
    </w:p>
    <w:p>
      <w:pPr>
        <w:pStyle w:val="Compact"/>
        <w:numPr>
          <w:ilvl w:val="0"/>
          <w:numId w:val="70"/>
        </w:numPr>
        <w:rPr/>
      </w:pPr>
      <w:r>
        <w:rPr>
          <w:rStyle w:val="VerbatimChar"/>
          <w:lang w:val="pt-BR"/>
        </w:rPr>
        <w:t>pneumonia</w:t>
      </w:r>
    </w:p>
    <w:p>
      <w:pPr>
        <w:pStyle w:val="FirstParagraph"/>
        <w:rPr>
          <w:lang w:val="pt-BR"/>
        </w:rPr>
      </w:pPr>
      <w:bookmarkStart w:id="47" w:name="pneumonia"/>
      <w:r>
        <w:rPr>
          <w:lang w:val="pt-BR"/>
        </w:rPr>
        <w:t>Número de identificações: 4</w:t>
      </w:r>
      <w:bookmarkEnd w:id="47"/>
    </w:p>
    <w:p>
      <w:pPr>
        <w:pStyle w:val="Heading3"/>
        <w:rPr>
          <w:lang w:val="pt-BR"/>
        </w:rPr>
      </w:pPr>
      <w:bookmarkStart w:id="48" w:name="__RefHeading___Toc13936_4259880419"/>
      <w:bookmarkEnd w:id="48"/>
      <w:r>
        <w:rPr>
          <w:lang w:val="pt-BR"/>
        </w:rPr>
        <w:t>FX</w:t>
      </w:r>
    </w:p>
    <w:p>
      <w:pPr>
        <w:pStyle w:val="FirstParagraph"/>
        <w:rPr>
          <w:lang w:val="pt-BR"/>
        </w:rPr>
      </w:pPr>
      <w:r>
        <w:rPr>
          <w:lang w:val="pt-BR"/>
        </w:rPr>
        <w:t>Chaves de busca:</w:t>
      </w:r>
    </w:p>
    <w:p>
      <w:pPr>
        <w:pStyle w:val="Compact"/>
        <w:numPr>
          <w:ilvl w:val="0"/>
          <w:numId w:val="71"/>
        </w:numPr>
        <w:rPr/>
      </w:pPr>
      <w:r>
        <w:rPr>
          <w:rStyle w:val="VerbatimChar"/>
          <w:lang w:val="pt-BR"/>
        </w:rPr>
        <w:t>fx</w:t>
      </w:r>
    </w:p>
    <w:p>
      <w:pPr>
        <w:pStyle w:val="FirstParagraph"/>
        <w:rPr>
          <w:lang w:val="pt-BR"/>
        </w:rPr>
      </w:pPr>
      <w:bookmarkStart w:id="49" w:name="fx"/>
      <w:r>
        <w:rPr>
          <w:lang w:val="pt-BR"/>
        </w:rPr>
        <w:t>Número de identificações: 3</w:t>
      </w:r>
      <w:bookmarkEnd w:id="49"/>
    </w:p>
    <w:p>
      <w:pPr>
        <w:pStyle w:val="Heading3"/>
        <w:rPr>
          <w:lang w:val="pt-BR"/>
        </w:rPr>
      </w:pPr>
      <w:bookmarkStart w:id="50" w:name="__RefHeading___Toc13938_4259880419"/>
      <w:bookmarkEnd w:id="50"/>
      <w:r>
        <w:rPr>
          <w:lang w:val="pt-BR"/>
        </w:rPr>
        <w:t>Parestesia</w:t>
      </w:r>
    </w:p>
    <w:p>
      <w:pPr>
        <w:pStyle w:val="FirstParagraph"/>
        <w:rPr>
          <w:lang w:val="pt-BR"/>
        </w:rPr>
      </w:pPr>
      <w:r>
        <w:rPr>
          <w:lang w:val="pt-BR"/>
        </w:rPr>
        <w:t>Chaves de busca:</w:t>
      </w:r>
    </w:p>
    <w:p>
      <w:pPr>
        <w:pStyle w:val="Compact"/>
        <w:numPr>
          <w:ilvl w:val="0"/>
          <w:numId w:val="72"/>
        </w:numPr>
        <w:rPr/>
      </w:pPr>
      <w:r>
        <w:rPr>
          <w:rStyle w:val="VerbatimChar"/>
          <w:lang w:val="pt-BR"/>
        </w:rPr>
        <w:t>parest</w:t>
      </w:r>
    </w:p>
    <w:p>
      <w:pPr>
        <w:pStyle w:val="FirstParagraph"/>
        <w:rPr>
          <w:lang w:val="pt-BR"/>
        </w:rPr>
      </w:pPr>
      <w:bookmarkStart w:id="51" w:name="complicações-individuais"/>
      <w:bookmarkStart w:id="52" w:name="parestesia"/>
      <w:r>
        <w:rPr>
          <w:lang w:val="pt-BR"/>
        </w:rPr>
        <w:t>Número de identificações: 3</w:t>
      </w:r>
      <w:bookmarkEnd w:id="51"/>
      <w:bookmarkEnd w:id="52"/>
    </w:p>
    <w:p>
      <w:pPr>
        <w:pStyle w:val="Heading2"/>
        <w:rPr>
          <w:lang w:val="pt-BR"/>
        </w:rPr>
      </w:pPr>
      <w:bookmarkStart w:id="53" w:name="__RefHeading___Toc13940_4259880419"/>
      <w:bookmarkEnd w:id="53"/>
      <w:r>
        <w:rPr>
          <w:lang w:val="pt-BR"/>
        </w:rPr>
        <w:t>Qualquer complicação</w:t>
      </w:r>
    </w:p>
    <w:p>
      <w:pPr>
        <w:pStyle w:val="FirstParagraph"/>
        <w:rPr>
          <w:lang w:val="pt-BR"/>
        </w:rPr>
      </w:pPr>
      <w:r>
        <w:rPr>
          <w:lang w:val="pt-BR"/>
        </w:rPr>
        <w:t>A fim de criar um desfecho composto que capturasse o risco de qualquer complicação pós-cirúrgica no curto prazo, foi criada uma nova variável que é positiva se qualquer das complicações identificadas na seção 4.1. Ela é negativa apenas caso nenhuma das complicações individuais tenha ocorrido para aquele paciente.</w:t>
      </w:r>
    </w:p>
    <w:p>
      <w:pPr>
        <w:pStyle w:val="TextBody"/>
        <w:rPr>
          <w:lang w:val="pt-BR"/>
        </w:rPr>
      </w:pPr>
      <w:bookmarkStart w:id="54" w:name="estratégia-de-busca"/>
      <w:bookmarkStart w:id="55" w:name="qualquer-complicação"/>
      <w:r>
        <w:rPr>
          <w:lang w:val="pt-BR"/>
        </w:rPr>
        <w:t>Número de identificações: 84</w:t>
      </w:r>
      <w:bookmarkEnd w:id="54"/>
      <w:bookmarkEnd w:id="55"/>
    </w:p>
    <w:p>
      <w:pPr>
        <w:pStyle w:val="Heading1"/>
        <w:rPr>
          <w:lang w:val="pt-BR"/>
        </w:rPr>
      </w:pPr>
      <w:bookmarkStart w:id="56" w:name="__RefHeading___Toc13942_4259880419"/>
      <w:bookmarkEnd w:id="56"/>
      <w:r>
        <w:rPr>
          <w:lang w:val="pt-BR"/>
        </w:rPr>
        <w:t>Observações e limitações</w:t>
      </w:r>
    </w:p>
    <w:p>
      <w:pPr>
        <w:pStyle w:val="FirstParagraph"/>
        <w:rPr>
          <w:lang w:val="pt-BR"/>
        </w:rPr>
      </w:pPr>
      <w:r>
        <w:rPr>
          <w:lang w:val="pt-BR"/>
        </w:rPr>
        <w:t>A estratégia utilizada neste relatório técnico são flexíveis o suficiente para permitir a identificação de informações alvo com diferentes grafias, incluindo acentuação, erros tipográficos típicos entre outros. Adicionalmente, caso novas chaves se mostrem necess</w:t>
      </w:r>
      <w:r>
        <w:rPr>
          <w:rFonts w:eastAsia="Cambria" w:cs="" w:cstheme="minorBidi" w:eastAsiaTheme="minorHAnsi"/>
          <w:color w:val="auto"/>
          <w:kern w:val="0"/>
          <w:sz w:val="24"/>
          <w:szCs w:val="24"/>
          <w:lang w:val="pt-BR" w:eastAsia="en-US" w:bidi="ar-SA"/>
        </w:rPr>
        <w:t>árias</w:t>
      </w:r>
      <w:r>
        <w:rPr>
          <w:lang w:val="pt-BR"/>
        </w:rPr>
        <w:t>, elas podem ser facilmente acrescentadas ao algoritmo de busca para ampliar o escopo da identificação.</w:t>
      </w:r>
    </w:p>
    <w:p>
      <w:pPr>
        <w:pStyle w:val="TextBody"/>
        <w:rPr>
          <w:lang w:val="pt-BR"/>
        </w:rPr>
      </w:pPr>
      <w:bookmarkStart w:id="57" w:name="observações-e-limitações"/>
      <w:r>
        <w:rPr>
          <w:lang w:val="pt-BR"/>
        </w:rPr>
        <w:t>A principal limitação desta estratégia pode ser identificada na busca de chaves de texto pré-determinadas para identificar informações alvo. A qualidade do resultado depende do estabelecimento prévio de chaves de busca abrangentes, suficientes e adequadas ao texto alvo.</w:t>
      </w:r>
      <w:bookmarkEnd w:id="57"/>
    </w:p>
    <w:p>
      <w:pPr>
        <w:pStyle w:val="Heading1"/>
        <w:rPr>
          <w:lang w:val="pt-BR"/>
        </w:rPr>
      </w:pPr>
      <w:bookmarkStart w:id="58" w:name="__RefHeading___Toc13944_4259880419"/>
      <w:bookmarkEnd w:id="58"/>
      <w:r>
        <w:rPr>
          <w:lang w:val="pt-BR"/>
        </w:rPr>
        <w:t>Referências</w:t>
      </w:r>
    </w:p>
    <w:p>
      <w:pPr>
        <w:pStyle w:val="FirstParagraph"/>
        <w:rPr>
          <w:lang w:val="pt-BR"/>
        </w:rPr>
      </w:pPr>
      <w:bookmarkStart w:id="59" w:name="referências"/>
      <w:r>
        <w:rPr>
          <w:lang w:val="pt-BR"/>
        </w:rPr>
        <w:t>N/A</w:t>
      </w:r>
      <w:bookmarkEnd w:id="59"/>
    </w:p>
    <w:p>
      <w:pPr>
        <w:pStyle w:val="Heading1"/>
        <w:rPr>
          <w:lang w:val="pt-BR"/>
        </w:rPr>
      </w:pPr>
      <w:bookmarkStart w:id="60" w:name="__RefHeading___Toc13946_4259880419"/>
      <w:bookmarkStart w:id="61" w:name="apêndice"/>
      <w:bookmarkEnd w:id="60"/>
      <w:bookmarkEnd w:id="61"/>
      <w:r>
        <w:rPr>
          <w:lang w:val="pt-BR"/>
        </w:rPr>
        <w:t>Apêndice</w:t>
      </w:r>
    </w:p>
    <w:p>
      <w:pPr>
        <w:pStyle w:val="Heading2"/>
        <w:rPr>
          <w:lang w:val="pt-BR"/>
        </w:rPr>
      </w:pPr>
      <w:bookmarkStart w:id="62" w:name="__RefHeading___Toc13948_4259880419"/>
      <w:bookmarkEnd w:id="62"/>
      <w:r>
        <w:rPr>
          <w:lang w:val="pt-BR"/>
        </w:rPr>
        <w:t>Análise exploratória de dados</w:t>
      </w:r>
    </w:p>
    <w:p>
      <w:pPr>
        <w:pStyle w:val="FirstParagraph"/>
        <w:rPr>
          <w:lang w:val="pt-BR"/>
        </w:rPr>
      </w:pPr>
      <w:bookmarkStart w:id="63" w:name="análise-exploratória-de-dados"/>
      <w:r>
        <w:rPr>
          <w:lang w:val="pt-BR"/>
        </w:rPr>
        <w:t>N/A</w:t>
      </w:r>
      <w:bookmarkEnd w:id="63"/>
    </w:p>
    <w:p>
      <w:pPr>
        <w:pStyle w:val="Heading2"/>
        <w:rPr>
          <w:lang w:val="pt-BR"/>
        </w:rPr>
      </w:pPr>
      <w:bookmarkStart w:id="64" w:name="__RefHeading___Toc13950_4259880419"/>
      <w:bookmarkEnd w:id="64"/>
      <w:r>
        <w:rPr>
          <w:lang w:val="pt-BR"/>
        </w:rPr>
        <w:t>Disponibilidade</w:t>
      </w:r>
    </w:p>
    <w:p>
      <w:pPr>
        <w:pStyle w:val="FirstParagraph"/>
        <w:rPr>
          <w:lang w:val="pt-BR"/>
        </w:rPr>
      </w:pPr>
      <w:r>
        <w:rPr>
          <w:lang w:val="pt-BR"/>
        </w:rPr>
        <w:t>Este documento pode ser obtido no seguinte endereço:</w:t>
      </w:r>
    </w:p>
    <w:p>
      <w:pPr>
        <w:pStyle w:val="TextBody"/>
        <w:rPr/>
      </w:pPr>
      <w:hyperlink r:id="rId2">
        <w:bookmarkStart w:id="65" w:name="disponibilidade"/>
        <w:r>
          <w:rPr>
            <w:rStyle w:val="InternetLink"/>
            <w:lang w:val="pt-BR"/>
          </w:rPr>
          <w:t>https://philsf-biostat.github.io/SAR-2021-023-LP/</w:t>
        </w:r>
      </w:hyperlink>
      <w:bookmarkEnd w:id="65"/>
    </w:p>
    <w:p>
      <w:pPr>
        <w:pStyle w:val="Heading2"/>
        <w:rPr>
          <w:lang w:val="pt-BR"/>
        </w:rPr>
      </w:pPr>
      <w:bookmarkStart w:id="66" w:name="__RefHeading___Toc13952_4259880419"/>
      <w:bookmarkStart w:id="67" w:name="dados-utilizados"/>
      <w:bookmarkEnd w:id="66"/>
      <w:bookmarkEnd w:id="67"/>
      <w:r>
        <w:rPr>
          <w:lang w:val="pt-BR"/>
        </w:rPr>
        <w:t>Dados utilizados</w:t>
      </w:r>
    </w:p>
    <w:p>
      <w:pPr>
        <w:pStyle w:val="FirstParagraph"/>
        <w:rPr>
          <w:lang w:val="pt-BR"/>
        </w:rPr>
      </w:pPr>
      <w:r>
        <w:rPr>
          <w:lang w:val="pt-BR"/>
        </w:rPr>
        <w:t>Os dados utilizados neste relatório não podem ser publicados online por questões de sigilo.</w:t>
      </w:r>
    </w:p>
    <w:p>
      <w:pPr>
        <w:pStyle w:val="TableCaption"/>
        <w:rPr>
          <w:lang w:val="pt-BR"/>
        </w:rPr>
      </w:pPr>
      <w:r>
        <w:rPr>
          <w:b/>
          <w:bCs/>
          <w:lang w:val="pt-BR"/>
        </w:rPr>
        <w:t>Tabela A1</w:t>
      </w:r>
      <w:r>
        <w:rPr>
          <w:lang w:val="pt-BR"/>
        </w:rPr>
        <w:t xml:space="preserve"> Estrutura da tabela de dados analíticos (continued below)</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31"/>
        <w:gridCol w:w="451"/>
        <w:gridCol w:w="451"/>
        <w:gridCol w:w="1571"/>
        <w:gridCol w:w="1331"/>
        <w:gridCol w:w="1011"/>
        <w:gridCol w:w="998"/>
        <w:gridCol w:w="696"/>
        <w:gridCol w:w="371"/>
        <w:gridCol w:w="371"/>
        <w:gridCol w:w="531"/>
        <w:gridCol w:w="371"/>
        <w:gridCol w:w="371"/>
        <w:gridCol w:w="290"/>
      </w:tblGrid>
      <w:tr>
        <w:trPr/>
        <w:tc>
          <w:tcPr>
            <w:tcW w:w="9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prontuario</w:t>
            </w:r>
          </w:p>
        </w:tc>
        <w:tc>
          <w:tcPr>
            <w:tcW w:w="4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nome</w:t>
            </w:r>
          </w:p>
        </w:tc>
        <w:tc>
          <w:tcPr>
            <w:tcW w:w="4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sexo</w:t>
            </w:r>
          </w:p>
        </w:tc>
        <w:tc>
          <w:tcPr>
            <w:tcW w:w="15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data_de_nascimento</w:t>
            </w:r>
          </w:p>
        </w:tc>
        <w:tc>
          <w:tcPr>
            <w:tcW w:w="13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dia_da_cirurgia</w:t>
            </w:r>
          </w:p>
        </w:tc>
        <w:tc>
          <w:tcPr>
            <w:tcW w:w="10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dia_de_alta</w:t>
            </w:r>
          </w:p>
        </w:tc>
        <w:tc>
          <w:tcPr>
            <w:tcW w:w="99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dias_ate_alta</w:t>
            </w:r>
          </w:p>
        </w:tc>
        <w:tc>
          <w:tcPr>
            <w:tcW w:w="69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colunas4</w:t>
            </w:r>
          </w:p>
        </w:tc>
        <w:tc>
          <w:tcPr>
            <w:tcW w:w="3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cid</w:t>
            </w:r>
          </w:p>
        </w:tc>
        <w:tc>
          <w:tcPr>
            <w:tcW w:w="3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cor</w:t>
            </w:r>
          </w:p>
        </w:tc>
        <w:tc>
          <w:tcPr>
            <w:tcW w:w="5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idade</w:t>
            </w:r>
          </w:p>
        </w:tc>
        <w:tc>
          <w:tcPr>
            <w:tcW w:w="3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asa</w:t>
            </w:r>
          </w:p>
        </w:tc>
        <w:tc>
          <w:tcPr>
            <w:tcW w:w="3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has</w:t>
            </w:r>
          </w:p>
        </w:tc>
        <w:tc>
          <w:tcPr>
            <w:tcW w:w="29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dm</w:t>
            </w:r>
          </w:p>
        </w:tc>
      </w:tr>
      <w:tr>
        <w:trPr/>
        <w:tc>
          <w:tcPr>
            <w:tcW w:w="931" w:type="dxa"/>
            <w:tcBorders>
              <w:left w:val="single" w:sz="4" w:space="0" w:color="000000"/>
              <w:bottom w:val="single" w:sz="4" w:space="0" w:color="000000"/>
            </w:tcBorders>
            <w:vAlign w:val="center"/>
          </w:tcPr>
          <w:p>
            <w:pPr>
              <w:pStyle w:val="Compact"/>
              <w:widowControl w:val="false"/>
              <w:jc w:val="center"/>
              <w:rPr>
                <w:rFonts w:ascii="Ubuntu Mono" w:hAnsi="Ubuntu Mono"/>
                <w:sz w:val="16"/>
                <w:szCs w:val="16"/>
              </w:rPr>
            </w:pPr>
            <w:r>
              <w:rPr>
                <w:rFonts w:ascii="Ubuntu Mono" w:hAnsi="Ubuntu Mono"/>
                <w:b w:val="false"/>
                <w:bCs w:val="false"/>
                <w:i w:val="false"/>
                <w:iCs w:val="false"/>
                <w:strike w:val="false"/>
                <w:dstrike w:val="false"/>
                <w:outline w:val="false"/>
                <w:shadow w:val="false"/>
                <w:color w:val="000000"/>
                <w:sz w:val="16"/>
                <w:szCs w:val="16"/>
                <w:u w:val="none"/>
                <w:lang w:val="pt-BR"/>
              </w:rPr>
              <w:t>1</w:t>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5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5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931" w:type="dxa"/>
            <w:tcBorders>
              <w:left w:val="single" w:sz="4" w:space="0" w:color="000000"/>
              <w:bottom w:val="single" w:sz="4" w:space="0" w:color="000000"/>
            </w:tcBorders>
            <w:vAlign w:val="center"/>
          </w:tcPr>
          <w:p>
            <w:pPr>
              <w:pStyle w:val="Compact"/>
              <w:widowControl w:val="false"/>
              <w:jc w:val="center"/>
              <w:rPr>
                <w:rFonts w:ascii="Ubuntu Mono" w:hAnsi="Ubuntu Mono"/>
                <w:sz w:val="16"/>
                <w:szCs w:val="16"/>
              </w:rPr>
            </w:pPr>
            <w:r>
              <w:rPr>
                <w:rFonts w:ascii="Ubuntu Mono" w:hAnsi="Ubuntu Mono"/>
                <w:b w:val="false"/>
                <w:bCs w:val="false"/>
                <w:i w:val="false"/>
                <w:iCs w:val="false"/>
                <w:strike w:val="false"/>
                <w:dstrike w:val="false"/>
                <w:outline w:val="false"/>
                <w:shadow w:val="false"/>
                <w:color w:val="000000"/>
                <w:sz w:val="16"/>
                <w:szCs w:val="16"/>
                <w:u w:val="none"/>
                <w:lang w:val="pt-BR"/>
              </w:rPr>
              <w:t>2</w:t>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5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5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931" w:type="dxa"/>
            <w:tcBorders>
              <w:left w:val="single" w:sz="4" w:space="0" w:color="000000"/>
              <w:bottom w:val="single" w:sz="4" w:space="0" w:color="000000"/>
            </w:tcBorders>
            <w:vAlign w:val="center"/>
          </w:tcPr>
          <w:p>
            <w:pPr>
              <w:pStyle w:val="Compact"/>
              <w:widowControl w:val="false"/>
              <w:jc w:val="center"/>
              <w:rPr>
                <w:rFonts w:ascii="Ubuntu Mono" w:hAnsi="Ubuntu Mono"/>
                <w:sz w:val="16"/>
                <w:szCs w:val="16"/>
              </w:rPr>
            </w:pPr>
            <w:r>
              <w:rPr>
                <w:rFonts w:ascii="Ubuntu Mono" w:hAnsi="Ubuntu Mono"/>
                <w:b w:val="false"/>
                <w:bCs w:val="false"/>
                <w:i w:val="false"/>
                <w:iCs w:val="false"/>
                <w:strike w:val="false"/>
                <w:dstrike w:val="false"/>
                <w:outline w:val="false"/>
                <w:shadow w:val="false"/>
                <w:color w:val="000000"/>
                <w:sz w:val="16"/>
                <w:szCs w:val="16"/>
                <w:u w:val="none"/>
                <w:lang w:val="pt-BR"/>
              </w:rPr>
              <w:t>3</w:t>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5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5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931" w:type="dxa"/>
            <w:tcBorders>
              <w:left w:val="single" w:sz="4" w:space="0" w:color="000000"/>
              <w:bottom w:val="single" w:sz="4" w:space="0" w:color="000000"/>
            </w:tcBorders>
            <w:vAlign w:val="center"/>
          </w:tcPr>
          <w:p>
            <w:pPr>
              <w:pStyle w:val="Compact"/>
              <w:widowControl w:val="false"/>
              <w:jc w:val="center"/>
              <w:rPr>
                <w:rFonts w:ascii="Ubuntu Mono" w:hAnsi="Ubuntu Mono"/>
                <w:sz w:val="16"/>
                <w:szCs w:val="16"/>
              </w:rPr>
            </w:pPr>
            <w:r>
              <w:rPr>
                <w:rFonts w:ascii="Ubuntu Mono" w:hAnsi="Ubuntu Mono"/>
                <w:b w:val="false"/>
                <w:bCs w:val="false"/>
                <w:i w:val="false"/>
                <w:iCs w:val="false"/>
                <w:strike w:val="false"/>
                <w:dstrike w:val="false"/>
                <w:outline w:val="false"/>
                <w:shadow w:val="false"/>
                <w:color w:val="000000"/>
                <w:sz w:val="16"/>
                <w:szCs w:val="16"/>
                <w:u w:val="none"/>
                <w:lang w:val="pt-BR"/>
              </w:rPr>
              <w:t>…</w:t>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5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5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931" w:type="dxa"/>
            <w:tcBorders>
              <w:left w:val="single" w:sz="4" w:space="0" w:color="000000"/>
              <w:bottom w:val="single" w:sz="4" w:space="0" w:color="000000"/>
            </w:tcBorders>
            <w:vAlign w:val="center"/>
          </w:tcPr>
          <w:p>
            <w:pPr>
              <w:pStyle w:val="Compact"/>
              <w:widowControl w:val="false"/>
              <w:jc w:val="center"/>
              <w:rPr>
                <w:rFonts w:ascii="Ubuntu Mono" w:hAnsi="Ubuntu Mono"/>
                <w:sz w:val="16"/>
                <w:szCs w:val="16"/>
              </w:rPr>
            </w:pPr>
            <w:r>
              <w:rPr>
                <w:rFonts w:ascii="Ubuntu Mono" w:hAnsi="Ubuntu Mono"/>
                <w:b w:val="false"/>
                <w:bCs w:val="false"/>
                <w:i w:val="false"/>
                <w:iCs w:val="false"/>
                <w:strike w:val="false"/>
                <w:dstrike w:val="false"/>
                <w:outline w:val="false"/>
                <w:shadow w:val="false"/>
                <w:color w:val="000000"/>
                <w:sz w:val="16"/>
                <w:szCs w:val="16"/>
                <w:u w:val="none"/>
                <w:lang w:val="pt-BR"/>
              </w:rPr>
              <w:t>926</w:t>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5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5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bl>
    <w:p>
      <w:pPr>
        <w:pStyle w:val="Normal"/>
        <w:rPr>
          <w:lang w:val="pt-BR"/>
        </w:rPr>
      </w:pPr>
      <w:r>
        <w:rPr>
          <w:lang w:val="pt-BR"/>
        </w:rPr>
      </w:r>
    </w:p>
    <w:p>
      <w:pPr>
        <w:pStyle w:val="TableCaption"/>
        <w:rPr>
          <w:lang w:val="pt-BR"/>
        </w:rPr>
      </w:pPr>
      <w:r>
        <w:rPr>
          <w:lang w:val="pt-BR"/>
        </w:rPr>
        <w:t>Table continues below</w:t>
      </w:r>
      <w:r>
        <w:br w:type="page"/>
      </w:r>
    </w:p>
    <w:p>
      <w:pPr>
        <w:pStyle w:val="TableCaption"/>
        <w:rPr>
          <w:lang w:val="pt-BR"/>
        </w:rPr>
      </w:pPr>
      <w:r>
        <w:rPr>
          <w:lang w:val="pt-BR"/>
        </w:rPr>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651"/>
        <w:gridCol w:w="851"/>
        <w:gridCol w:w="1091"/>
        <w:gridCol w:w="998"/>
        <w:gridCol w:w="974"/>
        <w:gridCol w:w="974"/>
        <w:gridCol w:w="691"/>
        <w:gridCol w:w="974"/>
        <w:gridCol w:w="771"/>
        <w:gridCol w:w="770"/>
      </w:tblGrid>
      <w:tr>
        <w:trPr/>
        <w:tc>
          <w:tcPr>
            <w:tcW w:w="16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outras_comorbidades</w:t>
            </w:r>
          </w:p>
        </w:tc>
        <w:tc>
          <w:tcPr>
            <w:tcW w:w="8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tabagismo</w:t>
            </w:r>
          </w:p>
        </w:tc>
        <w:tc>
          <w:tcPr>
            <w:tcW w:w="10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ex_tabagista</w:t>
            </w:r>
          </w:p>
        </w:tc>
        <w:tc>
          <w:tcPr>
            <w:tcW w:w="99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complicacoes</w:t>
            </w:r>
          </w:p>
        </w:tc>
        <w:tc>
          <w:tcPr>
            <w:tcW w:w="9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lateralidade</w:t>
            </w:r>
          </w:p>
        </w:tc>
        <w:tc>
          <w:tcPr>
            <w:tcW w:w="9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lateralidade_obs</w:t>
            </w:r>
          </w:p>
        </w:tc>
        <w:tc>
          <w:tcPr>
            <w:tcW w:w="6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coluna1</w:t>
            </w:r>
          </w:p>
        </w:tc>
        <w:tc>
          <w:tcPr>
            <w:tcW w:w="9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comp_anemia</w:t>
            </w:r>
          </w:p>
        </w:tc>
        <w:tc>
          <w:tcPr>
            <w:tcW w:w="7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comp_tep</w:t>
            </w:r>
          </w:p>
        </w:tc>
        <w:tc>
          <w:tcPr>
            <w:tcW w:w="7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comp_tev</w:t>
            </w:r>
          </w:p>
        </w:tc>
      </w:tr>
      <w:tr>
        <w:trPr/>
        <w:tc>
          <w:tcPr>
            <w:tcW w:w="16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6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6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6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6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bl>
    <w:p>
      <w:pPr>
        <w:pStyle w:val="Normal"/>
        <w:rPr>
          <w:lang w:val="pt-BR"/>
        </w:rPr>
      </w:pPr>
      <w:r>
        <w:rPr>
          <w:lang w:val="pt-BR"/>
        </w:rPr>
      </w:r>
    </w:p>
    <w:p>
      <w:pPr>
        <w:pStyle w:val="TableCaption"/>
        <w:rPr>
          <w:lang w:val="pt-BR"/>
        </w:rPr>
      </w:pPr>
      <w:r>
        <w:rPr>
          <w:lang w:val="pt-BR"/>
        </w:rPr>
        <w:t>Table continues below</w:t>
      </w:r>
    </w:p>
    <w:tbl>
      <w:tblPr>
        <w:tblStyle w:val="Table"/>
        <w:tblW w:w="9745"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776"/>
        <w:gridCol w:w="857"/>
        <w:gridCol w:w="937"/>
        <w:gridCol w:w="937"/>
        <w:gridCol w:w="937"/>
        <w:gridCol w:w="937"/>
        <w:gridCol w:w="937"/>
        <w:gridCol w:w="776"/>
        <w:gridCol w:w="937"/>
        <w:gridCol w:w="1018"/>
        <w:gridCol w:w="696"/>
      </w:tblGrid>
      <w:tr>
        <w:trPr/>
        <w:tc>
          <w:tcPr>
            <w:tcW w:w="7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comp_tvp</w:t>
            </w:r>
          </w:p>
        </w:tc>
        <w:tc>
          <w:tcPr>
            <w:tcW w:w="8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comp_inst</w:t>
            </w:r>
          </w:p>
        </w:tc>
        <w:tc>
          <w:tcPr>
            <w:tcW w:w="93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comp_deisc</w:t>
            </w:r>
          </w:p>
        </w:tc>
        <w:tc>
          <w:tcPr>
            <w:tcW w:w="93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comp_infec</w:t>
            </w:r>
          </w:p>
        </w:tc>
        <w:tc>
          <w:tcPr>
            <w:tcW w:w="93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comp_hidro</w:t>
            </w:r>
          </w:p>
        </w:tc>
        <w:tc>
          <w:tcPr>
            <w:tcW w:w="93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comp_delir</w:t>
            </w:r>
          </w:p>
        </w:tc>
        <w:tc>
          <w:tcPr>
            <w:tcW w:w="93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comp_obito</w:t>
            </w:r>
          </w:p>
        </w:tc>
        <w:tc>
          <w:tcPr>
            <w:tcW w:w="7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comp_itu</w:t>
            </w:r>
          </w:p>
        </w:tc>
        <w:tc>
          <w:tcPr>
            <w:tcW w:w="93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comp_sepse</w:t>
            </w:r>
          </w:p>
        </w:tc>
        <w:tc>
          <w:tcPr>
            <w:tcW w:w="10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comp_pneumo</w:t>
            </w:r>
          </w:p>
        </w:tc>
        <w:tc>
          <w:tcPr>
            <w:tcW w:w="69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comp_fx</w:t>
            </w:r>
          </w:p>
        </w:tc>
      </w:tr>
      <w:tr>
        <w:trPr/>
        <w:tc>
          <w:tcPr>
            <w:tcW w:w="7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7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7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7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7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bl>
    <w:p>
      <w:pPr>
        <w:pStyle w:val="Normal"/>
        <w:rPr>
          <w:lang w:val="pt-BR"/>
        </w:rPr>
      </w:pPr>
      <w:r>
        <w:rPr>
          <w:lang w:val="pt-BR"/>
        </w:rPr>
      </w:r>
    </w:p>
    <w:tbl>
      <w:tblPr>
        <w:tblStyle w:val="Table"/>
        <w:tblW w:w="488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822"/>
        <w:gridCol w:w="2114"/>
        <w:gridCol w:w="944"/>
      </w:tblGrid>
      <w:tr>
        <w:trPr/>
        <w:tc>
          <w:tcPr>
            <w:tcW w:w="182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comp_parest</w:t>
            </w:r>
          </w:p>
        </w:tc>
        <w:tc>
          <w:tcPr>
            <w:tcW w:w="211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comp_qualquer</w:t>
            </w:r>
          </w:p>
        </w:tc>
        <w:tc>
          <w:tcPr>
            <w:tcW w:w="94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group</w:t>
            </w:r>
          </w:p>
        </w:tc>
      </w:tr>
      <w:tr>
        <w:trPr/>
        <w:tc>
          <w:tcPr>
            <w:tcW w:w="18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1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4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8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1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4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8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1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4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8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1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4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8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1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4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bookmarkStart w:id="68" w:name="dados-utilizados1"/>
            <w:bookmarkStart w:id="69" w:name="dados-utilizados1"/>
            <w:bookmarkEnd w:id="69"/>
          </w:p>
        </w:tc>
      </w:tr>
    </w:tbl>
    <w:p>
      <w:pPr>
        <w:pStyle w:val="Normal"/>
        <w:spacing w:before="0" w:after="200"/>
        <w:rPr>
          <w:lang w:val="pt-BR"/>
        </w:rPr>
      </w:pPr>
      <w:r>
        <w:rPr/>
      </w:r>
    </w:p>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2" w:type="dxa"/>
          <w:tcBorders/>
          <w:vAlign w:val="center"/>
        </w:tcPr>
        <w:p>
          <w:pPr>
            <w:pStyle w:val="CabealhoeRodap"/>
            <w:widowControl w:val="false"/>
            <w:jc w:val="center"/>
            <w:rPr>
              <w:lang w:val="pt-BR" w:eastAsia="en-US" w:bidi="ar-SA"/>
            </w:rPr>
          </w:pPr>
          <w:r>
            <w:rPr>
              <w:lang w:val="pt-BR"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5</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8</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ilsf-biostat.github.io/SAR-2021-023-L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LibreOffice/7.3.1.3$Linux_X86_64 LibreOffice_project/30$Build-3</Application>
  <AppVersion>15.0000</AppVersion>
  <Pages>8</Pages>
  <Words>1018</Words>
  <Characters>5962</Characters>
  <CharactersWithSpaces>6799</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2022-03-22T00:49:31Z</dcterms:created>
  <dc:creator>De: Felipe Figueiredo Para: Lourenço Peixoto</dc:creator>
  <dc:description/>
  <dc:language>pt-BR</dc:language>
  <cp:lastModifiedBy>Felipe Figueiredo</cp:lastModifiedBy>
  <dcterms:modified xsi:type="dcterms:W3CDTF">2022-03-22T18:11:50Z</dcterms:modified>
  <cp:revision>12</cp:revision>
  <dc:subject/>
  <dc:title>Preparo da base de dados de estudo retrospectivo de complicações após revisão de artroplastia total de quadril em idosos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DOCUMENTO: SAR-2021-023-LP-v01</vt:lpwstr>
  </property>
  <property fmtid="{D5CDD505-2E9C-101B-9397-08002B2CF9AE}" pid="5" name="toc-title">
    <vt:lpwstr>Sumário</vt:lpwstr>
  </property>
</Properties>
</file>