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Prevalência de complicações em idosos após artroplastia total de quadril primária em hospital de referência no RJ (2016 – 2019)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SAP-2022-006-LP-v01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Lourenço Peixoto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564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4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5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  Variáveis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4.1  Desfechos primário e secundários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4.2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7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6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8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90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2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8.1  Análises associadas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4_2486035413">
            <w:r>
              <w:rPr>
                <w:webHidden/>
                <w:rStyle w:val="IndexLink"/>
                <w:vanish w:val="false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/>
      </w:pPr>
      <w:r>
        <w:rPr/>
        <w:t xml:space="preserve">Plano Analítico para Prevalência de complicações em idosos após artroplastia total de quadril primária em hospital de referência no RJ (2016 – 2019 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25646_2486035413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25648_2486035413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25650_248603541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Estimar o risco de complicações após ATQ primária em idosos a partir de 70 anos no período entre 2016 e 2019, quando comparados a pacientes mais novos.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25652_2486035413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6" w:name="hipóteses"/>
      <w:r>
        <w:rPr>
          <w:lang w:val="pt-BR" w:eastAsia="en-US" w:bidi="ar-SA"/>
        </w:rPr>
        <w:t>O risco ajustado de prevalência de complicações em idosos a partir de 70 anos é significantemente diferente do risco de pacientes abaixo de 70 anos.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25654_2486035413"/>
      <w:bookmarkEnd w:id="7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8" w:name="desenho-do-estudo"/>
      <w:bookmarkStart w:id="9" w:name="contexto"/>
      <w:r>
        <w:rPr>
          <w:lang w:val="pt-BR" w:eastAsia="en-US" w:bidi="ar-SA"/>
        </w:rPr>
        <w:t>Caso-controle, com exposição definida como tendo 70 anos ou mais. O desfecho será definido na seção 4.1.</w:t>
      </w:r>
      <w:bookmarkEnd w:id="8"/>
      <w:bookmarkEnd w:id="9"/>
    </w:p>
    <w:p>
      <w:pPr>
        <w:pStyle w:val="Heading1"/>
        <w:rPr>
          <w:lang w:val="pt-BR" w:eastAsia="en-US" w:bidi="ar-SA"/>
        </w:rPr>
      </w:pPr>
      <w:bookmarkStart w:id="10" w:name="__RefHeading___Toc25656_2486035413"/>
      <w:bookmarkStart w:id="11" w:name="dados"/>
      <w:bookmarkEnd w:id="10"/>
      <w:bookmarkEnd w:id="11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2" w:name="__RefHeading___Toc25658_2486035413"/>
      <w:bookmarkEnd w:id="12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38 variáveis coletadas de 926 observações.</w:t>
      </w:r>
    </w:p>
    <w:p>
      <w:pPr>
        <w:pStyle w:val="TextBody"/>
        <w:rPr>
          <w:lang w:val="pt-BR" w:eastAsia="en-US" w:bidi="ar-SA"/>
        </w:rPr>
      </w:pPr>
      <w:bookmarkStart w:id="13" w:name="dados-brutos"/>
      <w:r>
        <w:rPr>
          <w:lang w:val="pt-BR" w:eastAsia="en-US" w:bidi="ar-SA"/>
        </w:rPr>
        <w:t>A idade foi calculada entre a data de nascimento e a data de cirurgia, em anos completos, com precisão de calendário. O grupo de expostos foi definido por uma variável indicadora que é positiva quando o participante incluído tem 70 anos ou mais no dia da cirurgia.</w:t>
      </w:r>
      <w:bookmarkEnd w:id="13"/>
    </w:p>
    <w:p>
      <w:pPr>
        <w:pStyle w:val="Heading2"/>
        <w:rPr>
          <w:lang w:val="pt-BR" w:eastAsia="en-US" w:bidi="ar-SA"/>
        </w:rPr>
      </w:pPr>
      <w:bookmarkStart w:id="14" w:name="__RefHeading___Toc25660_2486035413"/>
      <w:bookmarkStart w:id="15" w:name="tabela-de-dados-analíticos"/>
      <w:bookmarkEnd w:id="14"/>
      <w:bookmarkEnd w:id="15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926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14"/>
        <w:gridCol w:w="963"/>
        <w:gridCol w:w="1262"/>
        <w:gridCol w:w="963"/>
        <w:gridCol w:w="814"/>
        <w:gridCol w:w="665"/>
        <w:gridCol w:w="665"/>
        <w:gridCol w:w="516"/>
        <w:gridCol w:w="1557"/>
      </w:tblGrid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has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asa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tabagismo</w:t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16" w:name="tabela-de-dados-analíticos1"/>
            <w:bookmarkStart w:id="17" w:name="dados1"/>
            <w:bookmarkStart w:id="18" w:name="tabela-de-dados-analíticos1"/>
            <w:bookmarkStart w:id="19" w:name="dados1"/>
            <w:bookmarkEnd w:id="18"/>
            <w:bookmarkEnd w:id="19"/>
          </w:p>
        </w:tc>
      </w:tr>
    </w:tbl>
    <w:p>
      <w:pPr>
        <w:pStyle w:val="Heading1"/>
        <w:rPr>
          <w:lang w:val="pt-BR" w:eastAsia="en-US" w:bidi="ar-SA"/>
        </w:rPr>
      </w:pPr>
      <w:bookmarkStart w:id="20" w:name="__RefHeading___Toc25662_2486035413"/>
      <w:bookmarkEnd w:id="20"/>
      <w:r>
        <w:rPr>
          <w:lang w:val="pt-BR" w:eastAsia="en-US" w:bidi="ar-SA"/>
        </w:rPr>
        <w:t>Variáveis do estudo</w:t>
      </w:r>
    </w:p>
    <w:p>
      <w:pPr>
        <w:pStyle w:val="Heading2"/>
        <w:rPr>
          <w:lang w:val="pt-BR" w:eastAsia="en-US" w:bidi="ar-SA"/>
        </w:rPr>
      </w:pPr>
      <w:bookmarkStart w:id="21" w:name="__RefHeading___Toc25664_2486035413"/>
      <w:bookmarkEnd w:id="21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3"/>
        </w:numPr>
        <w:rPr>
          <w:lang w:val="pt-BR" w:eastAsia="en-US" w:bidi="ar-SA"/>
        </w:rPr>
      </w:pPr>
      <w:r>
        <w:rPr>
          <w:lang w:val="pt-BR" w:eastAsia="en-US" w:bidi="ar-SA"/>
        </w:rPr>
        <w:t>(Domínio) Complicações</w:t>
      </w:r>
    </w:p>
    <w:p>
      <w:pPr>
        <w:pStyle w:val="Compact"/>
        <w:numPr>
          <w:ilvl w:val="0"/>
          <w:numId w:val="14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prevalência de qualquer complicação</w:t>
      </w:r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chance de complicação, estratificada por fatores de risco</w:t>
      </w:r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razão de chances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2" w:name="desfechos-primário-e-secundários"/>
      <w:r>
        <w:rPr>
          <w:lang w:val="pt-BR" w:eastAsia="en-US" w:bidi="ar-SA"/>
        </w:rPr>
        <w:t>Chance de complicação após revisão de ATQ em idosos.</w:t>
      </w:r>
      <w:bookmarkEnd w:id="22"/>
    </w:p>
    <w:p>
      <w:pPr>
        <w:pStyle w:val="Heading2"/>
        <w:rPr>
          <w:lang w:val="pt-BR" w:eastAsia="en-US" w:bidi="ar-SA"/>
        </w:rPr>
      </w:pPr>
      <w:bookmarkStart w:id="23" w:name="__RefHeading___Toc25666_2486035413"/>
      <w:bookmarkEnd w:id="23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Planejamos usar as seguintes variáveis para ajuste da razão de chances entre os grupos exposto e não exposto: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lang w:val="pt-BR" w:eastAsia="en-US" w:bidi="ar-SA"/>
        </w:rPr>
        <w:t>Sexo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r>
        <w:rPr>
          <w:lang w:val="pt-BR" w:eastAsia="en-US" w:bidi="ar-SA"/>
        </w:rPr>
        <w:t>HAS</w:t>
      </w:r>
    </w:p>
    <w:p>
      <w:pPr>
        <w:pStyle w:val="Compact"/>
        <w:numPr>
          <w:ilvl w:val="0"/>
          <w:numId w:val="19"/>
        </w:numPr>
        <w:rPr>
          <w:lang w:val="pt-BR" w:eastAsia="en-US" w:bidi="ar-SA"/>
        </w:rPr>
      </w:pPr>
      <w:r>
        <w:rPr>
          <w:lang w:val="pt-BR" w:eastAsia="en-US" w:bidi="ar-SA"/>
        </w:rPr>
        <w:t>ASA</w:t>
      </w:r>
    </w:p>
    <w:p>
      <w:pPr>
        <w:pStyle w:val="Compact"/>
        <w:numPr>
          <w:ilvl w:val="0"/>
          <w:numId w:val="20"/>
        </w:numPr>
        <w:rPr>
          <w:lang w:val="pt-BR" w:eastAsia="en-US" w:bidi="ar-SA"/>
        </w:rPr>
      </w:pPr>
      <w:r>
        <w:rPr>
          <w:lang w:val="pt-BR" w:eastAsia="en-US" w:bidi="ar-SA"/>
        </w:rPr>
        <w:t>DM</w:t>
      </w:r>
    </w:p>
    <w:p>
      <w:pPr>
        <w:pStyle w:val="Compact"/>
        <w:numPr>
          <w:ilvl w:val="0"/>
          <w:numId w:val="21"/>
        </w:numPr>
        <w:rPr>
          <w:lang w:val="pt-BR" w:eastAsia="en-US" w:bidi="ar-SA"/>
        </w:rPr>
      </w:pPr>
      <w:bookmarkStart w:id="24" w:name="covariáveis"/>
      <w:r>
        <w:rPr>
          <w:lang w:val="pt-BR" w:eastAsia="en-US" w:bidi="ar-SA"/>
        </w:rPr>
        <w:t>Tabagismo</w:t>
      </w:r>
      <w:bookmarkEnd w:id="24"/>
    </w:p>
    <w:p>
      <w:pPr>
        <w:pStyle w:val="Heading1"/>
        <w:rPr>
          <w:lang w:val="pt-BR" w:eastAsia="en-US" w:bidi="ar-SA"/>
        </w:rPr>
      </w:pPr>
      <w:bookmarkStart w:id="25" w:name="__RefHeading___Toc25668_2486035413"/>
      <w:bookmarkStart w:id="26" w:name="métodos-estatísticos"/>
      <w:bookmarkEnd w:id="25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27" w:name="__RefHeading___Toc25670_2486035413"/>
      <w:bookmarkEnd w:id="27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28" w:name="__RefHeading___Toc25672_2486035413"/>
      <w:bookmarkEnd w:id="28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29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29"/>
    </w:p>
    <w:p>
      <w:pPr>
        <w:pStyle w:val="Heading3"/>
        <w:rPr>
          <w:lang w:val="pt-BR" w:eastAsia="en-US" w:bidi="ar-SA"/>
        </w:rPr>
      </w:pPr>
      <w:bookmarkStart w:id="30" w:name="__RefHeading___Toc25674_2486035413"/>
      <w:bookmarkEnd w:id="30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31" w:name="análise-inferencial"/>
      <w:r>
        <w:rPr>
          <w:lang w:val="pt-BR" w:eastAsia="en-US" w:bidi="ar-SA"/>
        </w:rPr>
        <w:t>Todas as análises inferenciais serão realizadas com base nos modelos estatísticos (descritos na próxima seção).</w:t>
      </w:r>
      <w:bookmarkEnd w:id="31"/>
    </w:p>
    <w:p>
      <w:pPr>
        <w:pStyle w:val="Heading3"/>
        <w:rPr>
          <w:lang w:val="pt-BR" w:eastAsia="en-US" w:bidi="ar-SA"/>
        </w:rPr>
      </w:pPr>
      <w:bookmarkStart w:id="32" w:name="__RefHeading___Toc25676_2486035413"/>
      <w:bookmarkEnd w:id="3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33" w:name="modelagem-estatística"/>
      <w:r>
        <w:rPr>
          <w:lang w:val="pt-BR" w:eastAsia="en-US" w:bidi="ar-SA"/>
        </w:rPr>
        <w:t>A razão de chances de complicações entre os grupos exposto e não exposto serão estimadas através com um modelo de regressão logística. A fim de avaliar o impacto das covariáveis na estimativa da OR, dois modelos serão utilizados: uma estimativa bruta (apenas entre o desfecho e a exposição) e outra estimativa ajustada que controla pelos outros fatores.</w:t>
      </w:r>
      <w:bookmarkEnd w:id="33"/>
    </w:p>
    <w:p>
      <w:pPr>
        <w:pStyle w:val="Heading3"/>
        <w:rPr>
          <w:lang w:val="pt-BR" w:eastAsia="en-US" w:bidi="ar-SA"/>
        </w:rPr>
      </w:pPr>
      <w:bookmarkStart w:id="34" w:name="__RefHeading___Toc25678_2486035413"/>
      <w:bookmarkEnd w:id="34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35" w:name="dados-faltantes"/>
      <w:bookmarkStart w:id="36" w:name="análises-estatística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35"/>
      <w:bookmarkEnd w:id="36"/>
    </w:p>
    <w:p>
      <w:pPr>
        <w:pStyle w:val="Heading2"/>
        <w:rPr>
          <w:lang w:val="pt-BR" w:eastAsia="en-US" w:bidi="ar-SA"/>
        </w:rPr>
      </w:pPr>
      <w:bookmarkStart w:id="37" w:name="__RefHeading___Toc25680_2486035413"/>
      <w:bookmarkEnd w:id="37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3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38"/>
    </w:p>
    <w:p>
      <w:pPr>
        <w:pStyle w:val="Heading2"/>
        <w:rPr>
          <w:lang w:val="pt-BR" w:eastAsia="en-US" w:bidi="ar-SA"/>
        </w:rPr>
      </w:pPr>
      <w:bookmarkStart w:id="39" w:name="__RefHeading___Toc25682_2486035413"/>
      <w:bookmarkEnd w:id="3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40" w:name="tamanho-da-amostra-e-poder"/>
      <w:r>
        <w:rPr>
          <w:lang w:val="pt-BR" w:eastAsia="en-US" w:bidi="ar-SA"/>
        </w:rPr>
        <w:t>N/A</w:t>
      </w:r>
      <w:bookmarkEnd w:id="40"/>
    </w:p>
    <w:p>
      <w:pPr>
        <w:pStyle w:val="Heading2"/>
        <w:rPr>
          <w:lang w:val="pt-BR" w:eastAsia="en-US" w:bidi="ar-SA"/>
        </w:rPr>
      </w:pPr>
      <w:bookmarkStart w:id="41" w:name="__RefHeading___Toc25684_2486035413"/>
      <w:bookmarkStart w:id="42" w:name="softwares-utilizados"/>
      <w:bookmarkEnd w:id="41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4.1.2.</w:t>
      </w:r>
      <w:bookmarkEnd w:id="26"/>
      <w:bookmarkEnd w:id="42"/>
    </w:p>
    <w:p>
      <w:pPr>
        <w:pStyle w:val="Heading1"/>
        <w:rPr>
          <w:lang w:val="pt-BR" w:eastAsia="en-US" w:bidi="ar-SA"/>
        </w:rPr>
      </w:pPr>
      <w:bookmarkStart w:id="43" w:name="__RefHeading___Toc25686_2486035413"/>
      <w:bookmarkEnd w:id="4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44" w:name="observações-e-limitações"/>
      <w:r>
        <w:rPr>
          <w:lang w:val="pt-BR" w:eastAsia="en-US" w:bidi="ar-SA"/>
        </w:rPr>
        <w:t>N/A</w:t>
      </w:r>
      <w:bookmarkEnd w:id="44"/>
    </w:p>
    <w:p>
      <w:pPr>
        <w:pStyle w:val="Heading1"/>
        <w:rPr>
          <w:lang w:val="pt-BR" w:eastAsia="en-US" w:bidi="ar-SA"/>
        </w:rPr>
      </w:pPr>
      <w:bookmarkStart w:id="45" w:name="__RefHeading___Toc25688_2486035413"/>
      <w:bookmarkStart w:id="46" w:name="referências"/>
      <w:bookmarkEnd w:id="45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 xml:space="preserve"> – Prevalência de complicações em idosos após artroplastia total de quadril primária em hospital de referência no RJ (2016 – 2019)</w:t>
      </w:r>
    </w:p>
    <w:p>
      <w:pPr>
        <w:pStyle w:val="Compact"/>
        <w:numPr>
          <w:ilvl w:val="0"/>
          <w:numId w:val="23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24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46"/>
    </w:p>
    <w:p>
      <w:pPr>
        <w:pStyle w:val="Heading1"/>
        <w:rPr>
          <w:lang w:val="pt-BR" w:eastAsia="en-US" w:bidi="ar-SA"/>
        </w:rPr>
      </w:pPr>
      <w:bookmarkStart w:id="47" w:name="__RefHeading___Toc25690_2486035413"/>
      <w:bookmarkEnd w:id="47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48" w:name="__RefHeading___Toc25692_2486035413"/>
      <w:bookmarkEnd w:id="48"/>
      <w:r>
        <w:rPr>
          <w:lang w:val="pt-BR" w:eastAsia="en-US" w:bidi="ar-SA"/>
        </w:rPr>
        <w:t>Análises associadas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Esta análise é parte de um projeto maior e é suportada por outras análises, disponíveis abaixo.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Preparo da base de dados de estudo retrospectivo de complicações após artroplastia total de quadril primária em idosos</w:t>
      </w:r>
    </w:p>
    <w:p>
      <w:pPr>
        <w:pStyle w:val="TextBody"/>
        <w:rPr/>
      </w:pPr>
      <w:hyperlink r:id="rId4">
        <w:bookmarkStart w:id="49" w:name="análises-associadas"/>
        <w:r>
          <w:rPr>
            <w:rStyle w:val="InternetLink"/>
            <w:lang w:val="pt-BR" w:eastAsia="en-US" w:bidi="ar-SA"/>
          </w:rPr>
          <w:t>https://github.com/philsf-biostat/SAR-2021-023-LP</w:t>
        </w:r>
      </w:hyperlink>
      <w:bookmarkEnd w:id="49"/>
    </w:p>
    <w:p>
      <w:pPr>
        <w:pStyle w:val="Heading2"/>
        <w:rPr>
          <w:lang w:val="pt-BR" w:eastAsia="en-US" w:bidi="ar-SA"/>
        </w:rPr>
      </w:pPr>
      <w:bookmarkStart w:id="50" w:name="__RefHeading___Toc25694_2486035413"/>
      <w:bookmarkEnd w:id="50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>) podem ser obtidos no seguinte endereço:</w:t>
      </w:r>
    </w:p>
    <w:p>
      <w:pPr>
        <w:pStyle w:val="TextBody"/>
        <w:spacing w:before="180" w:after="180"/>
        <w:rPr/>
      </w:pPr>
      <w:hyperlink r:id="rId5">
        <w:bookmarkStart w:id="51" w:name="disponibilidade"/>
        <w:bookmarkStart w:id="52" w:name="apêndice"/>
        <w:r>
          <w:rPr>
            <w:rStyle w:val="InternetLink"/>
            <w:lang w:val="pt-BR" w:eastAsia="en-US" w:bidi="ar-SA"/>
          </w:rPr>
          <w:t>https://philsf-biostat.github.io/SAR-2022-006-LP/</w:t>
        </w:r>
      </w:hyperlink>
      <w:bookmarkEnd w:id="51"/>
      <w:bookmarkEnd w:id="52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github.com/philsf-biostat/SAR-2021-023-LP" TargetMode="External"/><Relationship Id="rId5" Type="http://schemas.openxmlformats.org/officeDocument/2006/relationships/hyperlink" Target="https://philsf-biostat.github.io/SAR-2022-006-LP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LibreOffice/7.3.2.2$Linux_X86_64 LibreOffice_project/30$Build-2</Application>
  <AppVersion>15.0000</AppVersion>
  <Pages>5</Pages>
  <Words>894</Words>
  <Characters>5096</Characters>
  <CharactersWithSpaces>5931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2022-03-22T22:43:20Z</dcterms:created>
  <dc:creator>De: Felipe Figueiredo Para: Lourenço Peixoto</dc:creator>
  <dc:description/>
  <dc:language>pt-BR</dc:language>
  <cp:lastModifiedBy>Felipe Figueiredo</cp:lastModifiedBy>
  <dcterms:modified xsi:type="dcterms:W3CDTF">2022-04-09T08:35:29Z</dcterms:modified>
  <cp:revision>8</cp:revision>
  <dc:subject/>
  <dc:title>Plano Analítico para Prevalência de complicações em idosos após revisão de artroplastia total de quadril em hospital de referência no RJ (2016 – 2019)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2022-01-24</vt:lpwstr>
  </property>
  <property fmtid="{D5CDD505-2E9C-101B-9397-08002B2CF9AE}" pid="3" name="output">
    <vt:lpwstr/>
  </property>
  <property fmtid="{D5CDD505-2E9C-101B-9397-08002B2CF9AE}" pid="4" name="subtitle">
    <vt:lpwstr>DOCUMENTO: SAP-2022-006-LP-v01</vt:lpwstr>
  </property>
  <property fmtid="{D5CDD505-2E9C-101B-9397-08002B2CF9AE}" pid="5" name="toc-title">
    <vt:lpwstr>Sumário</vt:lpwstr>
  </property>
</Properties>
</file>