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eastAsia="en-US" w:bidi="ar-SA"/>
        </w:rPr>
      </w:pPr>
      <w:r>
        <w:rPr>
          <w:lang w:val="pt-BR" w:eastAsia="en-US" w:bidi="ar-SA"/>
        </w:rPr>
        <w:t>Prevalência de complicações em idosos após artroplastia total de quadril primária em hospital de referência no RJ (2016 – 2019)</w:t>
      </w:r>
    </w:p>
    <w:p>
      <w:pPr>
        <w:pStyle w:val="Subtitle"/>
        <w:rPr>
          <w:lang w:val="pt-BR" w:eastAsia="en-US" w:bidi="ar-SA"/>
        </w:rPr>
      </w:pPr>
      <w:r>
        <w:rPr>
          <w:lang w:val="pt-BR" w:eastAsia="en-US" w:bidi="ar-SA"/>
        </w:rPr>
        <w:t>DOCUMENTO: SAR-2022-006-LP-v01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Lourenço Peixoto</w:t>
      </w:r>
    </w:p>
    <w:p>
      <w:pPr>
        <w:pStyle w:val="Date"/>
        <w:rPr>
          <w:lang w:val="pt-BR" w:eastAsia="en-US" w:bidi="ar-SA"/>
        </w:rPr>
      </w:pPr>
      <w:r>
        <w:rPr>
          <w:lang w:val="pt-BR" w:eastAsia="en-US" w:bidi="ar-SA"/>
        </w:rPr>
        <w:t>2022-03-28</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lang w:val="pt-BR" w:eastAsia="en-US" w:bidi="ar-SA"/>
            </w:rPr>
          </w:pPr>
          <w:r>
            <w:rPr>
              <w:rFonts w:eastAsia="" w:cs="" w:cstheme="majorBidi" w:eastAsiaTheme="majorEastAsia"/>
              <w:b/>
              <w:bCs w:val="false"/>
              <w:color w:val="000000" w:themeShade="bf"/>
              <w:sz w:val="32"/>
              <w:lang w:val="pt-BR" w:eastAsia="en-US" w:bidi="ar-SA"/>
            </w:rPr>
            <w:t>Sumário</w:t>
          </w:r>
        </w:p>
        <w:p>
          <w:pPr>
            <w:pStyle w:val="Contents1"/>
            <w:tabs>
              <w:tab w:val="clear" w:pos="9360"/>
              <w:tab w:val="right" w:pos="9638" w:leader="dot"/>
            </w:tabs>
            <w:rPr/>
          </w:pPr>
          <w:r>
            <w:fldChar w:fldCharType="begin"/>
          </w:r>
          <w:r>
            <w:rPr>
              <w:webHidden/>
              <w:rStyle w:val="IndexLink"/>
              <w:vanish w:val="false"/>
              <w:lang w:val="pt-BR" w:eastAsia="en-US" w:bidi="ar-SA"/>
            </w:rPr>
            <w:instrText xml:space="preserve"> TOC \z \o "1-3" \u \h</w:instrText>
          </w:r>
          <w:r>
            <w:rPr>
              <w:webHidden/>
              <w:rStyle w:val="IndexLink"/>
              <w:vanish w:val="false"/>
              <w:lang w:val="pt-BR" w:eastAsia="en-US" w:bidi="ar-SA"/>
            </w:rPr>
            <w:fldChar w:fldCharType="separate"/>
          </w:r>
          <w:hyperlink w:anchor="__RefHeading___Toc9027_3117552864">
            <w:r>
              <w:rPr>
                <w:webHidden/>
                <w:rStyle w:val="IndexLink"/>
                <w:vanish w:val="false"/>
                <w:lang w:val="pt-BR" w:eastAsia="en-US" w:bidi="ar-SA"/>
              </w:rPr>
              <w:t xml:space="preserve"> </w:t>
            </w:r>
            <w:r>
              <w:rPr>
                <w:rStyle w:val="IndexLink"/>
                <w:lang w:val="pt-BR" w:eastAsia="en-US" w:bidi="ar-SA"/>
              </w:rPr>
              <w:t>1  Lista de abreviaturas</w:t>
              <w:tab/>
              <w:t>2</w:t>
            </w:r>
          </w:hyperlink>
        </w:p>
        <w:p>
          <w:pPr>
            <w:pStyle w:val="Contents1"/>
            <w:tabs>
              <w:tab w:val="clear" w:pos="9360"/>
              <w:tab w:val="right" w:pos="9638" w:leader="dot"/>
            </w:tabs>
            <w:rPr/>
          </w:pPr>
          <w:hyperlink w:anchor="__RefHeading___Toc9029_3117552864">
            <w:r>
              <w:rPr>
                <w:webHidden/>
                <w:rStyle w:val="IndexLink"/>
                <w:vanish w:val="false"/>
                <w:lang w:val="pt-BR" w:eastAsia="en-US" w:bidi="ar-SA"/>
              </w:rPr>
              <w:t xml:space="preserve"> </w:t>
            </w:r>
            <w:r>
              <w:rPr>
                <w:rStyle w:val="IndexLink"/>
                <w:lang w:val="pt-BR" w:eastAsia="en-US" w:bidi="ar-SA"/>
              </w:rPr>
              <w:t>2  Contexto</w:t>
              <w:tab/>
              <w:t>2</w:t>
            </w:r>
          </w:hyperlink>
        </w:p>
        <w:p>
          <w:pPr>
            <w:pStyle w:val="Contents2"/>
            <w:tabs>
              <w:tab w:val="clear" w:pos="9077"/>
              <w:tab w:val="right" w:pos="9638" w:leader="dot"/>
            </w:tabs>
            <w:rPr/>
          </w:pPr>
          <w:hyperlink w:anchor="__RefHeading___Toc9031_3117552864">
            <w:r>
              <w:rPr>
                <w:webHidden/>
                <w:rStyle w:val="IndexLink"/>
                <w:vanish w:val="false"/>
                <w:lang w:val="pt-BR" w:eastAsia="en-US" w:bidi="ar-SA"/>
              </w:rPr>
              <w:t xml:space="preserve"> </w:t>
            </w:r>
            <w:r>
              <w:rPr>
                <w:rStyle w:val="IndexLink"/>
                <w:lang w:val="pt-BR" w:eastAsia="en-US" w:bidi="ar-SA"/>
              </w:rPr>
              <w:t>2.1  Objetivos</w:t>
              <w:tab/>
              <w:t>2</w:t>
            </w:r>
          </w:hyperlink>
        </w:p>
        <w:p>
          <w:pPr>
            <w:pStyle w:val="Contents2"/>
            <w:tabs>
              <w:tab w:val="clear" w:pos="9077"/>
              <w:tab w:val="right" w:pos="9638" w:leader="dot"/>
            </w:tabs>
            <w:rPr/>
          </w:pPr>
          <w:hyperlink w:anchor="__RefHeading___Toc9033_3117552864">
            <w:r>
              <w:rPr>
                <w:webHidden/>
                <w:rStyle w:val="IndexLink"/>
                <w:vanish w:val="false"/>
                <w:lang w:val="pt-BR" w:eastAsia="en-US" w:bidi="ar-SA"/>
              </w:rPr>
              <w:t xml:space="preserve"> </w:t>
            </w:r>
            <w:r>
              <w:rPr>
                <w:rStyle w:val="IndexLink"/>
                <w:lang w:val="pt-BR" w:eastAsia="en-US" w:bidi="ar-SA"/>
              </w:rPr>
              <w:t>2.2  Recepção e tratamento dos dados</w:t>
              <w:tab/>
              <w:t>2</w:t>
            </w:r>
          </w:hyperlink>
        </w:p>
        <w:p>
          <w:pPr>
            <w:pStyle w:val="Contents1"/>
            <w:tabs>
              <w:tab w:val="clear" w:pos="9360"/>
              <w:tab w:val="right" w:pos="9638" w:leader="dot"/>
            </w:tabs>
            <w:rPr/>
          </w:pPr>
          <w:hyperlink w:anchor="__RefHeading___Toc9035_3117552864">
            <w:r>
              <w:rPr>
                <w:webHidden/>
                <w:rStyle w:val="IndexLink"/>
                <w:vanish w:val="false"/>
                <w:lang w:val="pt-BR" w:eastAsia="en-US" w:bidi="ar-SA"/>
              </w:rPr>
              <w:t xml:space="preserve"> </w:t>
            </w:r>
            <w:r>
              <w:rPr>
                <w:rStyle w:val="IndexLink"/>
                <w:lang w:val="pt-BR" w:eastAsia="en-US" w:bidi="ar-SA"/>
              </w:rPr>
              <w:t>3  Metodologia</w:t>
              <w:tab/>
              <w:t>2</w:t>
            </w:r>
          </w:hyperlink>
        </w:p>
        <w:p>
          <w:pPr>
            <w:pStyle w:val="Contents2"/>
            <w:tabs>
              <w:tab w:val="clear" w:pos="9077"/>
              <w:tab w:val="right" w:pos="9638" w:leader="dot"/>
            </w:tabs>
            <w:rPr/>
          </w:pPr>
          <w:hyperlink w:anchor="__RefHeading___Toc9037_3117552864">
            <w:r>
              <w:rPr>
                <w:webHidden/>
                <w:rStyle w:val="IndexLink"/>
                <w:vanish w:val="false"/>
                <w:lang w:val="pt-BR" w:eastAsia="en-US" w:bidi="ar-SA"/>
              </w:rPr>
              <w:t xml:space="preserve"> </w:t>
            </w:r>
            <w:r>
              <w:rPr>
                <w:rStyle w:val="IndexLink"/>
                <w:lang w:val="pt-BR" w:eastAsia="en-US" w:bidi="ar-SA"/>
              </w:rPr>
              <w:t>3.1  Variáveis</w:t>
              <w:tab/>
              <w:t>2</w:t>
            </w:r>
          </w:hyperlink>
        </w:p>
        <w:p>
          <w:pPr>
            <w:pStyle w:val="Contents3"/>
            <w:tabs>
              <w:tab w:val="clear" w:pos="8794"/>
              <w:tab w:val="right" w:pos="9638" w:leader="dot"/>
            </w:tabs>
            <w:rPr/>
          </w:pPr>
          <w:hyperlink w:anchor="__RefHeading___Toc9039_3117552864">
            <w:r>
              <w:rPr>
                <w:webHidden/>
                <w:rStyle w:val="IndexLink"/>
                <w:vanish w:val="false"/>
                <w:lang w:val="pt-BR" w:eastAsia="en-US" w:bidi="ar-SA"/>
              </w:rPr>
              <w:t xml:space="preserve"> </w:t>
            </w:r>
            <w:r>
              <w:rPr>
                <w:rStyle w:val="IndexLink"/>
                <w:lang w:val="pt-BR" w:eastAsia="en-US" w:bidi="ar-SA"/>
              </w:rPr>
              <w:t>3.1.1  Desfechos primário e secundário</w:t>
              <w:tab/>
              <w:t>2</w:t>
            </w:r>
          </w:hyperlink>
        </w:p>
        <w:p>
          <w:pPr>
            <w:pStyle w:val="Contents3"/>
            <w:tabs>
              <w:tab w:val="clear" w:pos="8794"/>
              <w:tab w:val="right" w:pos="9638" w:leader="dot"/>
            </w:tabs>
            <w:rPr/>
          </w:pPr>
          <w:hyperlink w:anchor="__RefHeading___Toc9041_3117552864">
            <w:r>
              <w:rPr>
                <w:webHidden/>
                <w:rStyle w:val="IndexLink"/>
                <w:vanish w:val="false"/>
                <w:lang w:val="pt-BR" w:eastAsia="en-US" w:bidi="ar-SA"/>
              </w:rPr>
              <w:t xml:space="preserve"> </w:t>
            </w:r>
            <w:r>
              <w:rPr>
                <w:rStyle w:val="IndexLink"/>
                <w:lang w:val="pt-BR" w:eastAsia="en-US" w:bidi="ar-SA"/>
              </w:rPr>
              <w:t>3.1.2  Covariáveis</w:t>
              <w:tab/>
              <w:t>2</w:t>
            </w:r>
          </w:hyperlink>
        </w:p>
        <w:p>
          <w:pPr>
            <w:pStyle w:val="Contents2"/>
            <w:tabs>
              <w:tab w:val="clear" w:pos="9077"/>
              <w:tab w:val="right" w:pos="9638" w:leader="dot"/>
            </w:tabs>
            <w:rPr/>
          </w:pPr>
          <w:hyperlink w:anchor="__RefHeading___Toc9043_3117552864">
            <w:r>
              <w:rPr>
                <w:webHidden/>
                <w:rStyle w:val="IndexLink"/>
                <w:vanish w:val="false"/>
                <w:lang w:val="pt-BR" w:eastAsia="en-US" w:bidi="ar-SA"/>
              </w:rPr>
              <w:t xml:space="preserve"> </w:t>
            </w:r>
            <w:r>
              <w:rPr>
                <w:rStyle w:val="IndexLink"/>
                <w:lang w:val="pt-BR" w:eastAsia="en-US" w:bidi="ar-SA"/>
              </w:rPr>
              <w:t>3.2  Análises Estatísticas</w:t>
              <w:tab/>
              <w:t>2</w:t>
            </w:r>
          </w:hyperlink>
        </w:p>
        <w:p>
          <w:pPr>
            <w:pStyle w:val="Contents1"/>
            <w:tabs>
              <w:tab w:val="clear" w:pos="9360"/>
              <w:tab w:val="right" w:pos="9638" w:leader="dot"/>
            </w:tabs>
            <w:rPr/>
          </w:pPr>
          <w:hyperlink w:anchor="__RefHeading___Toc9045_3117552864">
            <w:r>
              <w:rPr>
                <w:webHidden/>
                <w:rStyle w:val="IndexLink"/>
                <w:vanish w:val="false"/>
                <w:lang w:val="pt-BR" w:eastAsia="en-US" w:bidi="ar-SA"/>
              </w:rPr>
              <w:t xml:space="preserve"> </w:t>
            </w:r>
            <w:r>
              <w:rPr>
                <w:rStyle w:val="IndexLink"/>
                <w:lang w:val="pt-BR" w:eastAsia="en-US" w:bidi="ar-SA"/>
              </w:rPr>
              <w:t>4  Resultados</w:t>
              <w:tab/>
              <w:t>2</w:t>
            </w:r>
          </w:hyperlink>
        </w:p>
        <w:p>
          <w:pPr>
            <w:pStyle w:val="Contents2"/>
            <w:tabs>
              <w:tab w:val="clear" w:pos="9077"/>
              <w:tab w:val="right" w:pos="9638" w:leader="dot"/>
            </w:tabs>
            <w:rPr/>
          </w:pPr>
          <w:hyperlink w:anchor="__RefHeading___Toc9047_3117552864">
            <w:r>
              <w:rPr>
                <w:webHidden/>
                <w:rStyle w:val="IndexLink"/>
                <w:vanish w:val="false"/>
                <w:lang w:val="pt-BR" w:eastAsia="en-US" w:bidi="ar-SA"/>
              </w:rPr>
              <w:t xml:space="preserve"> </w:t>
            </w:r>
            <w:r>
              <w:rPr>
                <w:rStyle w:val="IndexLink"/>
                <w:lang w:val="pt-BR" w:eastAsia="en-US" w:bidi="ar-SA"/>
              </w:rPr>
              <w:t>4.1  População do estudo e acompanhamento</w:t>
              <w:tab/>
              <w:t>2</w:t>
            </w:r>
          </w:hyperlink>
        </w:p>
        <w:p>
          <w:pPr>
            <w:pStyle w:val="Contents2"/>
            <w:tabs>
              <w:tab w:val="clear" w:pos="9077"/>
              <w:tab w:val="right" w:pos="9638" w:leader="dot"/>
            </w:tabs>
            <w:rPr/>
          </w:pPr>
          <w:hyperlink w:anchor="__RefHeading___Toc9049_3117552864">
            <w:r>
              <w:rPr>
                <w:webHidden/>
                <w:rStyle w:val="IndexLink"/>
                <w:vanish w:val="false"/>
                <w:lang w:val="pt-BR" w:eastAsia="en-US" w:bidi="ar-SA"/>
              </w:rPr>
              <w:t xml:space="preserve"> </w:t>
            </w:r>
            <w:r>
              <w:rPr>
                <w:rStyle w:val="IndexLink"/>
                <w:lang w:val="pt-BR" w:eastAsia="en-US" w:bidi="ar-SA"/>
              </w:rPr>
              <w:t>4.2  Prevalência de complicações</w:t>
              <w:tab/>
              <w:t>4</w:t>
            </w:r>
          </w:hyperlink>
        </w:p>
        <w:p>
          <w:pPr>
            <w:pStyle w:val="Contents1"/>
            <w:tabs>
              <w:tab w:val="clear" w:pos="9360"/>
              <w:tab w:val="right" w:pos="9638" w:leader="dot"/>
            </w:tabs>
            <w:rPr/>
          </w:pPr>
          <w:hyperlink w:anchor="__RefHeading___Toc9051_3117552864">
            <w:r>
              <w:rPr>
                <w:webHidden/>
                <w:rStyle w:val="IndexLink"/>
                <w:vanish w:val="false"/>
                <w:lang w:val="pt-BR" w:eastAsia="en-US" w:bidi="ar-SA"/>
              </w:rPr>
              <w:t xml:space="preserve"> </w:t>
            </w:r>
            <w:r>
              <w:rPr>
                <w:rStyle w:val="IndexLink"/>
                <w:lang w:val="pt-BR" w:eastAsia="en-US" w:bidi="ar-SA"/>
              </w:rPr>
              <w:t>5  Observações e limitações</w:t>
              <w:tab/>
              <w:t>5</w:t>
            </w:r>
          </w:hyperlink>
        </w:p>
        <w:p>
          <w:pPr>
            <w:pStyle w:val="Contents1"/>
            <w:tabs>
              <w:tab w:val="clear" w:pos="9360"/>
              <w:tab w:val="right" w:pos="9638" w:leader="dot"/>
            </w:tabs>
            <w:rPr/>
          </w:pPr>
          <w:hyperlink w:anchor="__RefHeading___Toc9053_3117552864">
            <w:r>
              <w:rPr>
                <w:webHidden/>
                <w:rStyle w:val="IndexLink"/>
                <w:vanish w:val="false"/>
                <w:lang w:val="pt-BR" w:eastAsia="en-US" w:bidi="ar-SA"/>
              </w:rPr>
              <w:t xml:space="preserve"> </w:t>
            </w:r>
            <w:r>
              <w:rPr>
                <w:rStyle w:val="IndexLink"/>
                <w:lang w:val="pt-BR" w:eastAsia="en-US" w:bidi="ar-SA"/>
              </w:rPr>
              <w:t>6  Conclusões</w:t>
              <w:tab/>
              <w:t>5</w:t>
            </w:r>
          </w:hyperlink>
        </w:p>
        <w:p>
          <w:pPr>
            <w:pStyle w:val="Contents1"/>
            <w:tabs>
              <w:tab w:val="clear" w:pos="9360"/>
              <w:tab w:val="right" w:pos="9638" w:leader="dot"/>
            </w:tabs>
            <w:rPr/>
          </w:pPr>
          <w:hyperlink w:anchor="__RefHeading___Toc9055_3117552864">
            <w:r>
              <w:rPr>
                <w:webHidden/>
                <w:rStyle w:val="IndexLink"/>
                <w:vanish w:val="false"/>
                <w:lang w:val="pt-BR" w:eastAsia="en-US" w:bidi="ar-SA"/>
              </w:rPr>
              <w:t xml:space="preserve"> </w:t>
            </w:r>
            <w:r>
              <w:rPr>
                <w:rStyle w:val="IndexLink"/>
                <w:lang w:val="pt-BR" w:eastAsia="en-US" w:bidi="ar-SA"/>
              </w:rPr>
              <w:t>7  Referências</w:t>
              <w:tab/>
              <w:t>5</w:t>
            </w:r>
          </w:hyperlink>
        </w:p>
        <w:p>
          <w:pPr>
            <w:pStyle w:val="Contents1"/>
            <w:tabs>
              <w:tab w:val="clear" w:pos="9360"/>
              <w:tab w:val="right" w:pos="9638" w:leader="dot"/>
            </w:tabs>
            <w:rPr/>
          </w:pPr>
          <w:hyperlink w:anchor="__RefHeading___Toc9057_3117552864">
            <w:r>
              <w:rPr>
                <w:webHidden/>
                <w:rStyle w:val="IndexLink"/>
                <w:vanish w:val="false"/>
                <w:lang w:val="pt-BR" w:eastAsia="en-US" w:bidi="ar-SA"/>
              </w:rPr>
              <w:t xml:space="preserve"> </w:t>
            </w:r>
            <w:r>
              <w:rPr>
                <w:rStyle w:val="IndexLink"/>
                <w:lang w:val="pt-BR" w:eastAsia="en-US" w:bidi="ar-SA"/>
              </w:rPr>
              <w:t>8  Apêndice</w:t>
              <w:tab/>
              <w:t>5</w:t>
            </w:r>
          </w:hyperlink>
        </w:p>
        <w:p>
          <w:pPr>
            <w:pStyle w:val="Contents2"/>
            <w:tabs>
              <w:tab w:val="clear" w:pos="9077"/>
              <w:tab w:val="right" w:pos="9638" w:leader="dot"/>
            </w:tabs>
            <w:rPr/>
          </w:pPr>
          <w:hyperlink w:anchor="__RefHeading___Toc9059_3117552864">
            <w:r>
              <w:rPr>
                <w:webHidden/>
                <w:rStyle w:val="IndexLink"/>
                <w:vanish w:val="false"/>
                <w:lang w:val="pt-BR" w:eastAsia="en-US" w:bidi="ar-SA"/>
              </w:rPr>
              <w:t xml:space="preserve"> </w:t>
            </w:r>
            <w:r>
              <w:rPr>
                <w:rStyle w:val="IndexLink"/>
                <w:lang w:val="pt-BR" w:eastAsia="en-US" w:bidi="ar-SA"/>
              </w:rPr>
              <w:t>8.1  Análise exploratória de dados</w:t>
              <w:tab/>
              <w:t>5</w:t>
            </w:r>
          </w:hyperlink>
        </w:p>
        <w:p>
          <w:pPr>
            <w:pStyle w:val="Contents2"/>
            <w:tabs>
              <w:tab w:val="clear" w:pos="9077"/>
              <w:tab w:val="right" w:pos="9638" w:leader="dot"/>
            </w:tabs>
            <w:rPr/>
          </w:pPr>
          <w:hyperlink w:anchor="__RefHeading___Toc9061_3117552864">
            <w:r>
              <w:rPr>
                <w:webHidden/>
                <w:rStyle w:val="IndexLink"/>
                <w:vanish w:val="false"/>
                <w:lang w:val="pt-BR" w:eastAsia="en-US" w:bidi="ar-SA"/>
              </w:rPr>
              <w:t xml:space="preserve"> </w:t>
            </w:r>
            <w:r>
              <w:rPr>
                <w:rStyle w:val="IndexLink"/>
                <w:lang w:val="pt-BR" w:eastAsia="en-US" w:bidi="ar-SA"/>
              </w:rPr>
              <w:t>8.2  Processo de modelagem</w:t>
              <w:tab/>
              <w:t>5</w:t>
            </w:r>
          </w:hyperlink>
        </w:p>
        <w:p>
          <w:pPr>
            <w:pStyle w:val="Contents2"/>
            <w:tabs>
              <w:tab w:val="clear" w:pos="9077"/>
              <w:tab w:val="right" w:pos="9638" w:leader="dot"/>
            </w:tabs>
            <w:rPr/>
          </w:pPr>
          <w:hyperlink w:anchor="__RefHeading___Toc9063_3117552864">
            <w:r>
              <w:rPr>
                <w:webHidden/>
                <w:rStyle w:val="IndexLink"/>
                <w:vanish w:val="false"/>
                <w:lang w:val="pt-BR" w:eastAsia="en-US" w:bidi="ar-SA"/>
              </w:rPr>
              <w:t xml:space="preserve"> </w:t>
            </w:r>
            <w:r>
              <w:rPr>
                <w:rStyle w:val="IndexLink"/>
                <w:lang w:val="pt-BR" w:eastAsia="en-US" w:bidi="ar-SA"/>
              </w:rPr>
              <w:t>8.3  Análises associadas</w:t>
              <w:tab/>
              <w:t>6</w:t>
            </w:r>
          </w:hyperlink>
        </w:p>
        <w:p>
          <w:pPr>
            <w:pStyle w:val="Contents2"/>
            <w:tabs>
              <w:tab w:val="clear" w:pos="9077"/>
              <w:tab w:val="right" w:pos="9638" w:leader="dot"/>
            </w:tabs>
            <w:rPr/>
          </w:pPr>
          <w:hyperlink w:anchor="__RefHeading___Toc9065_3117552864">
            <w:r>
              <w:rPr>
                <w:webHidden/>
                <w:rStyle w:val="IndexLink"/>
                <w:vanish w:val="false"/>
                <w:lang w:val="pt-BR" w:eastAsia="en-US" w:bidi="ar-SA"/>
              </w:rPr>
              <w:t xml:space="preserve"> </w:t>
            </w:r>
            <w:r>
              <w:rPr>
                <w:rStyle w:val="IndexLink"/>
                <w:lang w:val="pt-BR" w:eastAsia="en-US" w:bidi="ar-SA"/>
              </w:rPr>
              <w:t>8.4  Disponibilidade</w:t>
              <w:tab/>
              <w:t>6</w:t>
            </w:r>
          </w:hyperlink>
        </w:p>
        <w:p>
          <w:pPr>
            <w:pStyle w:val="Contents2"/>
            <w:tabs>
              <w:tab w:val="clear" w:pos="9077"/>
              <w:tab w:val="right" w:pos="9638" w:leader="dot"/>
            </w:tabs>
            <w:rPr/>
          </w:pPr>
          <w:hyperlink w:anchor="__RefHeading___Toc9067_3117552864">
            <w:r>
              <w:rPr>
                <w:webHidden/>
                <w:rStyle w:val="IndexLink"/>
                <w:vanish w:val="false"/>
                <w:lang w:val="pt-BR" w:eastAsia="en-US" w:bidi="ar-SA"/>
              </w:rPr>
              <w:t xml:space="preserve"> </w:t>
            </w:r>
            <w:r>
              <w:rPr>
                <w:rStyle w:val="IndexLink"/>
                <w:lang w:val="pt-BR" w:eastAsia="en-US" w:bidi="ar-SA"/>
              </w:rPr>
              <w:t>8.5  Dados utilizados</w:t>
              <w:tab/>
              <w:t>6</w:t>
            </w:r>
          </w:hyperlink>
          <w:r>
            <w:rPr>
              <w:rStyle w:val="IndexLink"/>
              <w:lang w:val="pt-BR" w:eastAsia="en-US" w:bidi="ar-SA"/>
            </w:rPr>
            <w:fldChar w:fldCharType="end"/>
          </w:r>
        </w:p>
      </w:sdtContent>
    </w:sdt>
    <w:p>
      <w:pPr>
        <w:pStyle w:val="Normal"/>
        <w:rPr>
          <w:lang w:val="pt-BR" w:eastAsia="en-US" w:bidi="ar-SA"/>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lang w:val="pt-BR" w:eastAsia="en-US" w:bidi="ar-SA"/>
        </w:rPr>
      </w:pPr>
      <w:r>
        <w:rPr>
          <w:lang w:val="pt-BR" w:eastAsia="en-US" w:bidi="ar-SA"/>
        </w:rPr>
      </w:r>
      <w:r>
        <w:br w:type="page"/>
      </w:r>
    </w:p>
    <w:p>
      <w:pPr>
        <w:pStyle w:val="Title"/>
        <w:rPr>
          <w:lang w:val="pt-BR" w:eastAsia="en-US" w:bidi="ar-SA"/>
        </w:rPr>
      </w:pPr>
      <w:r>
        <w:rPr>
          <w:lang w:val="pt-BR" w:eastAsia="en-US" w:bidi="ar-SA"/>
        </w:rPr>
        <w:t>Prevalência de complicações em idosos após artroplastia total de quadril primária em hospital de referência no RJ (2016 – 2019)</w:t>
      </w:r>
    </w:p>
    <w:p>
      <w:pPr>
        <w:pStyle w:val="TextBody"/>
        <w:rPr>
          <w:lang w:val="pt-BR" w:eastAsia="en-US" w:bidi="ar-SA"/>
        </w:rPr>
      </w:pPr>
      <w:r>
        <w:rPr>
          <w:b/>
          <w:bCs/>
          <w:lang w:val="pt-BR" w:eastAsia="en-US" w:bidi="ar-SA"/>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eastAsia="en-US" w:bidi="ar-SA"/>
        </w:rPr>
      </w:pPr>
      <w:bookmarkStart w:id="0" w:name="__RefHeading___Toc9027_3117552864"/>
      <w:bookmarkStart w:id="1" w:name="lista-de-abreviaturas"/>
      <w:bookmarkEnd w:id="0"/>
      <w:r>
        <w:rPr>
          <w:lang w:val="pt-BR" w:eastAsia="en-US" w:bidi="ar-SA"/>
        </w:rPr>
        <w:t>Lista de abreviaturas</w:t>
      </w:r>
      <w:bookmarkEnd w:id="1"/>
    </w:p>
    <w:p>
      <w:pPr>
        <w:pStyle w:val="Heading1"/>
        <w:rPr>
          <w:lang w:val="pt-BR" w:eastAsia="en-US" w:bidi="ar-SA"/>
        </w:rPr>
      </w:pPr>
      <w:bookmarkStart w:id="2" w:name="__RefHeading___Toc9029_3117552864"/>
      <w:bookmarkEnd w:id="2"/>
      <w:r>
        <w:rPr>
          <w:lang w:val="pt-BR" w:eastAsia="en-US" w:bidi="ar-SA"/>
        </w:rPr>
        <w:t>Contexto</w:t>
      </w:r>
    </w:p>
    <w:p>
      <w:pPr>
        <w:pStyle w:val="Heading2"/>
        <w:rPr>
          <w:lang w:val="pt-BR" w:eastAsia="en-US" w:bidi="ar-SA"/>
        </w:rPr>
      </w:pPr>
      <w:bookmarkStart w:id="3" w:name="__RefHeading___Toc9031_3117552864"/>
      <w:bookmarkStart w:id="4" w:name="objetivos"/>
      <w:bookmarkEnd w:id="3"/>
      <w:r>
        <w:rPr>
          <w:lang w:val="pt-BR" w:eastAsia="en-US" w:bidi="ar-SA"/>
        </w:rPr>
        <w:t>Objetivos</w:t>
      </w:r>
      <w:bookmarkEnd w:id="4"/>
    </w:p>
    <w:p>
      <w:pPr>
        <w:pStyle w:val="Heading2"/>
        <w:rPr>
          <w:lang w:val="pt-BR" w:eastAsia="en-US" w:bidi="ar-SA"/>
        </w:rPr>
      </w:pPr>
      <w:bookmarkStart w:id="5" w:name="__RefHeading___Toc9033_3117552864"/>
      <w:bookmarkStart w:id="6" w:name="contexto"/>
      <w:bookmarkStart w:id="7" w:name="recepção-e-tratamento-dos-dados"/>
      <w:bookmarkEnd w:id="5"/>
      <w:r>
        <w:rPr>
          <w:lang w:val="pt-BR" w:eastAsia="en-US" w:bidi="ar-SA"/>
        </w:rPr>
        <w:t>Recepção e tratamento dos dados</w:t>
      </w:r>
      <w:bookmarkEnd w:id="6"/>
      <w:bookmarkEnd w:id="7"/>
    </w:p>
    <w:p>
      <w:pPr>
        <w:pStyle w:val="Heading1"/>
        <w:rPr>
          <w:lang w:val="pt-BR" w:eastAsia="en-US" w:bidi="ar-SA"/>
        </w:rPr>
      </w:pPr>
      <w:bookmarkStart w:id="8" w:name="__RefHeading___Toc9035_3117552864"/>
      <w:bookmarkStart w:id="9" w:name="metodologia"/>
      <w:bookmarkEnd w:id="8"/>
      <w:r>
        <w:rPr>
          <w:lang w:val="pt-BR" w:eastAsia="en-US" w:bidi="ar-SA"/>
        </w:rPr>
        <w:t>Metodologia</w:t>
      </w:r>
    </w:p>
    <w:p>
      <w:pPr>
        <w:pStyle w:val="Heading2"/>
        <w:rPr>
          <w:lang w:val="pt-BR" w:eastAsia="en-US" w:bidi="ar-SA"/>
        </w:rPr>
      </w:pPr>
      <w:bookmarkStart w:id="10" w:name="__RefHeading___Toc9037_3117552864"/>
      <w:bookmarkEnd w:id="10"/>
      <w:r>
        <w:rPr>
          <w:lang w:val="pt-BR" w:eastAsia="en-US" w:bidi="ar-SA"/>
        </w:rPr>
        <w:t>Variáveis</w:t>
      </w:r>
    </w:p>
    <w:p>
      <w:pPr>
        <w:pStyle w:val="Heading3"/>
        <w:rPr>
          <w:lang w:val="pt-BR" w:eastAsia="en-US" w:bidi="ar-SA"/>
        </w:rPr>
      </w:pPr>
      <w:bookmarkStart w:id="11" w:name="__RefHeading___Toc9039_3117552864"/>
      <w:bookmarkStart w:id="12" w:name="desfechos-primário-e-secundário"/>
      <w:bookmarkEnd w:id="11"/>
      <w:r>
        <w:rPr>
          <w:lang w:val="pt-BR" w:eastAsia="en-US" w:bidi="ar-SA"/>
        </w:rPr>
        <w:t>Desfechos primário e secundário</w:t>
      </w:r>
      <w:bookmarkEnd w:id="12"/>
    </w:p>
    <w:p>
      <w:pPr>
        <w:pStyle w:val="Heading3"/>
        <w:rPr>
          <w:lang w:val="pt-BR" w:eastAsia="en-US" w:bidi="ar-SA"/>
        </w:rPr>
      </w:pPr>
      <w:bookmarkStart w:id="13" w:name="__RefHeading___Toc9041_3117552864"/>
      <w:bookmarkStart w:id="14" w:name="variáveis"/>
      <w:bookmarkStart w:id="15" w:name="covariáveis"/>
      <w:bookmarkEnd w:id="13"/>
      <w:r>
        <w:rPr>
          <w:lang w:val="pt-BR" w:eastAsia="en-US" w:bidi="ar-SA"/>
        </w:rPr>
        <w:t>Covariáveis</w:t>
      </w:r>
      <w:bookmarkEnd w:id="14"/>
      <w:bookmarkEnd w:id="15"/>
    </w:p>
    <w:p>
      <w:pPr>
        <w:pStyle w:val="Heading2"/>
        <w:rPr>
          <w:lang w:val="pt-BR" w:eastAsia="en-US" w:bidi="ar-SA"/>
        </w:rPr>
      </w:pPr>
      <w:bookmarkStart w:id="16" w:name="__RefHeading___Toc9043_3117552864"/>
      <w:bookmarkStart w:id="17" w:name="análises-estatísticas"/>
      <w:bookmarkEnd w:id="16"/>
      <w:r>
        <w:rPr>
          <w:lang w:val="pt-BR" w:eastAsia="en-US" w:bidi="ar-SA"/>
        </w:rPr>
        <w:t>Análises Estatísticas</w:t>
      </w:r>
    </w:p>
    <w:p>
      <w:pPr>
        <w:pStyle w:val="FirstParagraph"/>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4.1.3.</w:t>
      </w:r>
      <w:bookmarkEnd w:id="9"/>
      <w:bookmarkEnd w:id="17"/>
    </w:p>
    <w:p>
      <w:pPr>
        <w:pStyle w:val="Heading1"/>
        <w:rPr>
          <w:lang w:val="pt-BR" w:eastAsia="en-US" w:bidi="ar-SA"/>
        </w:rPr>
      </w:pPr>
      <w:bookmarkStart w:id="18" w:name="__RefHeading___Toc9045_3117552864"/>
      <w:bookmarkEnd w:id="18"/>
      <w:r>
        <w:rPr>
          <w:lang w:val="pt-BR" w:eastAsia="en-US" w:bidi="ar-SA"/>
        </w:rPr>
        <w:t>Resultados</w:t>
      </w:r>
    </w:p>
    <w:p>
      <w:pPr>
        <w:pStyle w:val="Heading2"/>
        <w:rPr>
          <w:lang w:val="pt-BR" w:eastAsia="en-US" w:bidi="ar-SA"/>
        </w:rPr>
      </w:pPr>
      <w:bookmarkStart w:id="19" w:name="__RefHeading___Toc9047_3117552864"/>
      <w:bookmarkStart w:id="20" w:name="população-do-estudo-e-acompanhamento"/>
      <w:bookmarkEnd w:id="19"/>
      <w:r>
        <w:rPr>
          <w:lang w:val="pt-BR" w:eastAsia="en-US" w:bidi="ar-SA"/>
        </w:rPr>
        <w:t>População do estudo e acompanhamento</w:t>
      </w:r>
    </w:p>
    <w:p>
      <w:pPr>
        <w:pStyle w:val="FirstParagraph"/>
        <w:rPr>
          <w:lang w:val="pt-BR" w:eastAsia="en-US" w:bidi="ar-SA"/>
        </w:rPr>
      </w:pPr>
      <w:r>
        <w:rPr>
          <w:lang w:val="pt-BR" w:eastAsia="en-US" w:bidi="ar-SA"/>
        </w:rPr>
        <w:t>Foram incluídos 926 participantes no estudo, com idade média (DP) 63 (9). 548 (59%) dos participantes incluídos eram homens (Tabela 1).</w:t>
      </w:r>
    </w:p>
    <w:p>
      <w:pPr>
        <w:pStyle w:val="TextBody"/>
        <w:rPr>
          <w:lang w:val="pt-BR" w:eastAsia="en-US" w:bidi="ar-SA"/>
        </w:rPr>
      </w:pPr>
      <w:r>
        <w:rPr>
          <w:lang w:val="pt-BR" w:eastAsia="en-US" w:bidi="ar-SA"/>
        </w:rPr>
        <w:t>Das comorbidades avaliadas 646 (70%) possuiam HAS, 184 (20%) possuíam Diabetes mellitus e 112 (12%) eram tabagistas (Tabela 1). O nível de risco cirúrgico (ASA) mais frequente na população de estudo foi ASA 2 com 724 (78%) dos participantes incluídos.</w:t>
      </w:r>
    </w:p>
    <w:p>
      <w:pPr>
        <w:pStyle w:val="TextBody"/>
        <w:rPr>
          <w:lang w:val="pt-BR" w:eastAsia="en-US" w:bidi="ar-SA"/>
        </w:rPr>
      </w:pPr>
      <w:r>
        <w:rPr>
          <w:lang w:val="pt-BR" w:eastAsia="en-US" w:bidi="ar-SA"/>
        </w:rPr>
        <w:t>Este estudo considerou a faixa etária de 70 anos ou mais como fator de risco para complicações pós ATQ. 232 (25%) eram do grupo de risco de complicações. A taxa de complicações observada no período do estudo foi relativamente baixa com apenas 84 (9.1%) participantes experimentando algum tipo de complicação. Dos 84 participantes que não experimentaram complicações 31 (36.9%) eram do grupo de risco, enquanto que este grupo totalizou 201 (23.9%) dos casos livres de complicação (Tabela 1, Figura 1).</w:t>
      </w:r>
    </w:p>
    <w:p>
      <w:pPr>
        <w:pStyle w:val="TableCaption"/>
        <w:rPr>
          <w:lang w:val="pt-BR" w:eastAsia="en-US" w:bidi="ar-SA"/>
        </w:rPr>
      </w:pPr>
      <w:r>
        <w:rPr>
          <w:b/>
          <w:bCs/>
          <w:lang w:val="pt-BR" w:eastAsia="en-US" w:bidi="ar-SA"/>
        </w:rPr>
        <w:t>Tabela 1</w:t>
      </w:r>
      <w:r>
        <w:rPr>
          <w:lang w:val="pt-BR" w:eastAsia="en-US" w:bidi="ar-SA"/>
        </w:rPr>
        <w:t xml:space="preserve"> caption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6157"/>
        <w:gridCol w:w="1762"/>
      </w:tblGrid>
      <w:tr>
        <w:trPr/>
        <w:tc>
          <w:tcPr>
            <w:tcW w:w="61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176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N = 926</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Exposição,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&lt;70</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694 (75%)</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70+</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232 (25%)</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Complicação (qualquer),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Não</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842 (91%)</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Sim</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84 (9.1%)</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Idade (anos), Média (Desvio Padrão)</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63 (9)</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Sexo,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378 (41%)</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548 (59%)</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Hipertensão arterial sistêmica,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646 (70%)</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ASA,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163 (18%)</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724 (78%)</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39 (4.2%)</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Diabetes mellitus,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184 (20%)</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Tabagismo,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112 (12%)</w:t>
            </w:r>
          </w:p>
        </w:tc>
      </w:tr>
    </w:tbl>
    <w:p>
      <w:pPr>
        <w:pStyle w:val="CaptionedFigure"/>
        <w:rPr>
          <w:lang w:val="pt-BR" w:eastAsia="en-US" w:bidi="ar-SA"/>
        </w:rPr>
      </w:pPr>
      <w:r>
        <w:rPr/>
        <w:drawing>
          <wp:inline distT="0" distB="0" distL="0" distR="0">
            <wp:extent cx="4333240" cy="4333240"/>
            <wp:effectExtent l="0" t="0" r="0" b="0"/>
            <wp:docPr id="3" name="Picture" descr="Figura 1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caption"/>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caption</w:t>
      </w:r>
      <w:bookmarkEnd w:id="20"/>
    </w:p>
    <w:p>
      <w:pPr>
        <w:pStyle w:val="Heading2"/>
        <w:rPr>
          <w:lang w:val="pt-BR" w:eastAsia="en-US" w:bidi="ar-SA"/>
        </w:rPr>
      </w:pPr>
      <w:bookmarkStart w:id="21" w:name="__RefHeading___Toc9049_3117552864"/>
      <w:bookmarkEnd w:id="21"/>
      <w:r>
        <w:rPr>
          <w:lang w:val="pt-BR" w:eastAsia="en-US" w:bidi="ar-SA"/>
        </w:rPr>
        <w:t>Prevalência de complicações</w:t>
      </w:r>
    </w:p>
    <w:p>
      <w:pPr>
        <w:pStyle w:val="FirstParagraph"/>
        <w:rPr>
          <w:lang w:val="pt-BR" w:eastAsia="en-US" w:bidi="ar-SA"/>
        </w:rPr>
      </w:pPr>
      <w:r>
        <w:rPr>
          <w:lang w:val="pt-BR" w:eastAsia="en-US" w:bidi="ar-SA"/>
        </w:rPr>
        <w:t>O modelo logístico usado nesta análise é capaz de estimar a OR de complicação em idosos com 70 anos ou mais, comparado com o grupo com idades inferiores.</w:t>
      </w:r>
    </w:p>
    <w:p>
      <w:pPr>
        <w:pStyle w:val="TextBody"/>
        <w:rPr>
          <w:lang w:val="pt-BR" w:eastAsia="en-US" w:bidi="ar-SA"/>
        </w:rPr>
      </w:pPr>
      <w:r>
        <w:rPr>
          <w:lang w:val="pt-BR" w:eastAsia="en-US" w:bidi="ar-SA"/>
        </w:rPr>
        <w:t>Foi criado um modelo simplificado para servir como base de referência para interpretação do modelo final (Estimativa bruta, Tabela 2). A OR bruta entre o grupo sob exposição e o grupo sem exposição é 1.87, e esta OR significativamente acima de 1. Isto significa que, mesmo antes de ajustar pelos outros fatores, há evidência de risco aumentado de ocorrência complicações após revisão de ATQ neste grupo, quando comparado ao grupo sem exposição. Neste caso a estimativa de prevalência relativa no grupo com exposição é aproximadamente 87% maior que a prevalência no grupo sem exposição.</w:t>
      </w:r>
    </w:p>
    <w:p>
      <w:pPr>
        <w:pStyle w:val="TableCaption"/>
        <w:rPr>
          <w:lang w:val="pt-BR" w:eastAsia="en-US" w:bidi="ar-SA"/>
        </w:rPr>
      </w:pPr>
      <w:r>
        <w:rPr>
          <w:b/>
          <w:bCs/>
          <w:lang w:val="pt-BR" w:eastAsia="en-US" w:bidi="ar-SA"/>
        </w:rPr>
        <w:t>Tabela 2</w:t>
      </w:r>
      <w:r>
        <w:rPr>
          <w:lang w:val="pt-BR" w:eastAsia="en-US" w:bidi="ar-SA"/>
        </w:rPr>
        <w:t xml:space="preserve"> Prevalência de complicações em idosos com 70 anos ou mais. Estimativa crua e estimativa ajustada por sexo, HAS, ASA, DM e hábitos tabagistas.</w:t>
      </w:r>
    </w:p>
    <w:tbl>
      <w:tblPr>
        <w:tblW w:w="9470" w:type="dxa"/>
        <w:jc w:val="left"/>
        <w:tblInd w:w="40" w:type="dxa"/>
        <w:tblLayout w:type="fixed"/>
        <w:tblCellMar>
          <w:top w:w="55" w:type="dxa"/>
          <w:left w:w="55" w:type="dxa"/>
          <w:bottom w:w="55" w:type="dxa"/>
          <w:right w:w="55" w:type="dxa"/>
        </w:tblCellMar>
      </w:tblPr>
      <w:tblGrid>
        <w:gridCol w:w="2201"/>
        <w:gridCol w:w="805"/>
        <w:gridCol w:w="1692"/>
        <w:gridCol w:w="1155"/>
        <w:gridCol w:w="774"/>
        <w:gridCol w:w="1688"/>
        <w:gridCol w:w="1154"/>
      </w:tblGrid>
      <w:tr>
        <w:trPr/>
        <w:tc>
          <w:tcPr>
            <w:tcW w:w="2201"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Características</w:t>
            </w:r>
          </w:p>
        </w:tc>
        <w:tc>
          <w:tcPr>
            <w:tcW w:w="3652" w:type="dxa"/>
            <w:gridSpan w:val="3"/>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Estimativa bruta</w:t>
            </w:r>
          </w:p>
        </w:tc>
        <w:tc>
          <w:tcPr>
            <w:tcW w:w="3616" w:type="dxa"/>
            <w:gridSpan w:val="3"/>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Modelo final</w:t>
            </w:r>
          </w:p>
        </w:tc>
      </w:tr>
      <w:tr>
        <w:trPr/>
        <w:tc>
          <w:tcPr>
            <w:tcW w:w="2201"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2"/>
                <w:u w:val="none"/>
              </w:rPr>
              <w:t>OR</w:t>
            </w:r>
            <w:r>
              <w:rPr>
                <w:b/>
                <w:bCs/>
                <w:i/>
                <w:iCs w:val="false"/>
                <w:strike w:val="false"/>
                <w:dstrike w:val="false"/>
                <w:outline w:val="false"/>
                <w:shadow w:val="false"/>
                <w:color w:val="000000"/>
                <w:sz w:val="20"/>
                <w:szCs w:val="22"/>
                <w:u w:val="none"/>
                <w:vertAlign w:val="superscript"/>
              </w:rPr>
              <w:t>1</w:t>
            </w:r>
          </w:p>
        </w:tc>
        <w:tc>
          <w:tcPr>
            <w:tcW w:w="1692"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2"/>
                <w:u w:val="none"/>
              </w:rPr>
              <w:t>95% IC</w:t>
            </w:r>
            <w:r>
              <w:rPr>
                <w:b/>
                <w:bCs/>
                <w:i/>
                <w:iCs w:val="false"/>
                <w:strike w:val="false"/>
                <w:dstrike w:val="false"/>
                <w:outline w:val="false"/>
                <w:shadow w:val="false"/>
                <w:color w:val="000000"/>
                <w:sz w:val="20"/>
                <w:szCs w:val="22"/>
                <w:u w:val="none"/>
                <w:vertAlign w:val="superscript"/>
              </w:rPr>
              <w:t>1</w:t>
            </w:r>
          </w:p>
        </w:tc>
        <w:tc>
          <w:tcPr>
            <w:tcW w:w="1155"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Valor p</w:t>
            </w:r>
          </w:p>
        </w:tc>
        <w:tc>
          <w:tcPr>
            <w:tcW w:w="774"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2"/>
                <w:u w:val="none"/>
              </w:rPr>
              <w:t>OR</w:t>
            </w:r>
            <w:r>
              <w:rPr>
                <w:b/>
                <w:bCs/>
                <w:i/>
                <w:iCs w:val="false"/>
                <w:strike w:val="false"/>
                <w:dstrike w:val="false"/>
                <w:outline w:val="false"/>
                <w:shadow w:val="false"/>
                <w:color w:val="000000"/>
                <w:sz w:val="20"/>
                <w:szCs w:val="22"/>
                <w:u w:val="none"/>
                <w:vertAlign w:val="superscript"/>
              </w:rPr>
              <w:t>1</w:t>
            </w:r>
          </w:p>
        </w:tc>
        <w:tc>
          <w:tcPr>
            <w:tcW w:w="1688"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2"/>
                <w:u w:val="none"/>
              </w:rPr>
              <w:t>95% IC</w:t>
            </w:r>
            <w:r>
              <w:rPr>
                <w:b/>
                <w:bCs/>
                <w:i/>
                <w:iCs w:val="false"/>
                <w:strike w:val="false"/>
                <w:dstrike w:val="false"/>
                <w:outline w:val="false"/>
                <w:shadow w:val="false"/>
                <w:color w:val="000000"/>
                <w:sz w:val="20"/>
                <w:szCs w:val="22"/>
                <w:u w:val="none"/>
                <w:vertAlign w:val="superscript"/>
              </w:rPr>
              <w:t>1</w:t>
            </w:r>
          </w:p>
        </w:tc>
        <w:tc>
          <w:tcPr>
            <w:tcW w:w="11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Valor p</w:t>
            </w:r>
          </w:p>
        </w:tc>
      </w:tr>
      <w:tr>
        <w:trPr/>
        <w:tc>
          <w:tcPr>
            <w:tcW w:w="2201"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Exposição</w:t>
            </w:r>
          </w:p>
        </w:tc>
        <w:tc>
          <w:tcPr>
            <w:tcW w:w="80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6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7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2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&lt;70</w:t>
            </w:r>
          </w:p>
        </w:tc>
        <w:tc>
          <w:tcPr>
            <w:tcW w:w="80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6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1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7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1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2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70+</w:t>
            </w:r>
          </w:p>
        </w:tc>
        <w:tc>
          <w:tcPr>
            <w:tcW w:w="80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1.87</w:t>
            </w:r>
          </w:p>
        </w:tc>
        <w:tc>
          <w:tcPr>
            <w:tcW w:w="16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1.15 to 2.97</w:t>
            </w:r>
          </w:p>
        </w:tc>
        <w:tc>
          <w:tcPr>
            <w:tcW w:w="11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0.009</w:t>
            </w:r>
          </w:p>
        </w:tc>
        <w:tc>
          <w:tcPr>
            <w:tcW w:w="7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2.02</w:t>
            </w:r>
          </w:p>
        </w:tc>
        <w:tc>
          <w:tcPr>
            <w:tcW w:w="1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1.20 to 3.38</w:t>
            </w:r>
          </w:p>
        </w:tc>
        <w:tc>
          <w:tcPr>
            <w:tcW w:w="11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0.008</w:t>
            </w:r>
          </w:p>
        </w:tc>
      </w:tr>
      <w:tr>
        <w:trPr/>
        <w:tc>
          <w:tcPr>
            <w:tcW w:w="9469" w:type="dxa"/>
            <w:gridSpan w:val="7"/>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OR = Razão de chances, IC = Intervalo de confiança</w:t>
            </w:r>
          </w:p>
        </w:tc>
      </w:tr>
    </w:tbl>
    <w:p>
      <w:pPr>
        <w:pStyle w:val="TextBody"/>
        <w:rPr>
          <w:lang w:val="pt-BR" w:eastAsia="en-US" w:bidi="ar-SA"/>
        </w:rPr>
      </w:pPr>
      <w:bookmarkStart w:id="22" w:name="resultados"/>
      <w:bookmarkStart w:id="23" w:name="prevalência-de-complicações"/>
      <w:r>
        <w:rPr>
          <w:lang w:val="pt-BR" w:eastAsia="en-US" w:bidi="ar-SA"/>
        </w:rPr>
        <w:t>Após ajustar a prevalência crua pelo sexo, ASA, e presença das comorbidades HAS, DM e hábitos tabagistas, a OR ajustada cresce para 2.02 (Modelo Final, Tabela 2). Isto significa que, após controlar os outros fatores, há evidência de risco ainda maior de ocorrência complicações após revisão de ATQ neste grupo, quando comparado ao grupo sem exposição. Neste caso a estimativa de prevalência relativa no grupo com exposição é aproximadamente o dobro da prevalência (102% maior) no grupo sem exposição.</w:t>
      </w:r>
      <w:bookmarkEnd w:id="22"/>
      <w:bookmarkEnd w:id="23"/>
    </w:p>
    <w:p>
      <w:pPr>
        <w:pStyle w:val="Heading1"/>
        <w:rPr>
          <w:lang w:val="pt-BR" w:eastAsia="en-US" w:bidi="ar-SA"/>
        </w:rPr>
      </w:pPr>
      <w:bookmarkStart w:id="24" w:name="__RefHeading___Toc9051_3117552864"/>
      <w:bookmarkStart w:id="25" w:name="observações-e-limitações"/>
      <w:bookmarkEnd w:id="24"/>
      <w:r>
        <w:rPr>
          <w:lang w:val="pt-BR" w:eastAsia="en-US" w:bidi="ar-SA"/>
        </w:rPr>
        <w:t>Observações e limitações</w:t>
      </w:r>
      <w:bookmarkEnd w:id="25"/>
    </w:p>
    <w:p>
      <w:pPr>
        <w:pStyle w:val="Heading1"/>
        <w:rPr>
          <w:lang w:val="pt-BR" w:eastAsia="en-US" w:bidi="ar-SA"/>
        </w:rPr>
      </w:pPr>
      <w:bookmarkStart w:id="26" w:name="__RefHeading___Toc9053_3117552864"/>
      <w:bookmarkStart w:id="27" w:name="conclusões"/>
      <w:bookmarkEnd w:id="26"/>
      <w:r>
        <w:rPr>
          <w:lang w:val="pt-BR" w:eastAsia="en-US" w:bidi="ar-SA"/>
        </w:rPr>
        <w:t>Conclusões</w:t>
      </w:r>
      <w:bookmarkEnd w:id="27"/>
    </w:p>
    <w:p>
      <w:pPr>
        <w:pStyle w:val="Heading1"/>
        <w:rPr>
          <w:lang w:val="pt-BR" w:eastAsia="en-US" w:bidi="ar-SA"/>
        </w:rPr>
      </w:pPr>
      <w:bookmarkStart w:id="28" w:name="__RefHeading___Toc9055_3117552864"/>
      <w:bookmarkStart w:id="29" w:name="referências"/>
      <w:bookmarkEnd w:id="28"/>
      <w:r>
        <w:rPr>
          <w:lang w:val="pt-BR" w:eastAsia="en-US" w:bidi="ar-SA"/>
        </w:rPr>
        <w:t>Referências</w:t>
      </w:r>
    </w:p>
    <w:p>
      <w:pPr>
        <w:pStyle w:val="Compact"/>
        <w:numPr>
          <w:ilvl w:val="0"/>
          <w:numId w:val="2"/>
        </w:numPr>
        <w:rPr>
          <w:lang w:val="pt-BR" w:eastAsia="en-US" w:bidi="ar-SA"/>
        </w:rPr>
      </w:pPr>
      <w:r>
        <w:rPr>
          <w:b/>
          <w:bCs/>
          <w:lang w:val="pt-BR" w:eastAsia="en-US" w:bidi="ar-SA"/>
        </w:rPr>
        <w:t>SAP-2022-006-LP-v01</w:t>
      </w:r>
      <w:r>
        <w:rPr>
          <w:lang w:val="pt-BR" w:eastAsia="en-US" w:bidi="ar-SA"/>
        </w:rPr>
        <w:t xml:space="preserve"> – Plano Analítico para P</w:t>
      </w:r>
      <w:bookmarkEnd w:id="29"/>
      <w:r>
        <w:rPr>
          <w:lang w:val="pt-BR" w:eastAsia="en-US" w:bidi="ar-SA"/>
        </w:rPr>
        <w:t>revalência de complicações em idosos após artroplastia total de quadril primária em hospital de referência no RJ (2016 – 2019</w:t>
      </w:r>
      <w:r>
        <w:rPr>
          <w:lang w:val="pt-BR" w:eastAsia="en-US" w:bidi="ar-SA"/>
        </w:rPr>
        <w:t>)</w:t>
      </w:r>
    </w:p>
    <w:p>
      <w:pPr>
        <w:pStyle w:val="Heading1"/>
        <w:rPr>
          <w:lang w:val="pt-BR" w:eastAsia="en-US" w:bidi="ar-SA"/>
        </w:rPr>
      </w:pPr>
      <w:bookmarkStart w:id="30" w:name="__RefHeading___Toc9057_3117552864"/>
      <w:bookmarkEnd w:id="30"/>
      <w:r>
        <w:rPr>
          <w:lang w:val="pt-BR" w:eastAsia="en-US" w:bidi="ar-SA"/>
        </w:rPr>
        <w:t>Apêndice</w:t>
      </w:r>
    </w:p>
    <w:p>
      <w:pPr>
        <w:pStyle w:val="Heading2"/>
        <w:rPr>
          <w:lang w:val="pt-BR" w:eastAsia="en-US" w:bidi="ar-SA"/>
        </w:rPr>
      </w:pPr>
      <w:bookmarkStart w:id="31" w:name="__RefHeading___Toc9059_3117552864"/>
      <w:bookmarkStart w:id="32" w:name="análise-exploratória-de-dados"/>
      <w:bookmarkEnd w:id="31"/>
      <w:r>
        <w:rPr>
          <w:lang w:val="pt-BR" w:eastAsia="en-US" w:bidi="ar-SA"/>
        </w:rPr>
        <w:t>Análise exploratória de dados</w:t>
      </w:r>
      <w:bookmarkEnd w:id="32"/>
    </w:p>
    <w:p>
      <w:pPr>
        <w:pStyle w:val="Heading2"/>
        <w:rPr>
          <w:lang w:val="pt-BR" w:eastAsia="en-US" w:bidi="ar-SA"/>
        </w:rPr>
      </w:pPr>
      <w:bookmarkStart w:id="33" w:name="__RefHeading___Toc9061_3117552864"/>
      <w:bookmarkEnd w:id="33"/>
      <w:r>
        <w:rPr>
          <w:lang w:val="pt-BR" w:eastAsia="en-US" w:bidi="ar-SA"/>
        </w:rPr>
        <w:t>Processo de modelagem</w:t>
      </w:r>
    </w:p>
    <w:p>
      <w:pPr>
        <w:pStyle w:val="TableCaption"/>
        <w:rPr>
          <w:lang w:val="pt-BR" w:eastAsia="en-US" w:bidi="ar-SA"/>
        </w:rPr>
      </w:pPr>
      <w:r>
        <w:rPr>
          <w:b/>
          <w:bCs/>
          <w:lang w:val="pt-BR" w:eastAsia="en-US" w:bidi="ar-SA"/>
        </w:rPr>
        <w:t>Tabela A1</w:t>
      </w:r>
      <w:r>
        <w:rPr>
          <w:lang w:val="pt-BR" w:eastAsia="en-US" w:bidi="ar-SA"/>
        </w:rPr>
        <w:t xml:space="preserve"> Versão alternativa da tabela 2.</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3482"/>
        <w:gridCol w:w="623"/>
        <w:gridCol w:w="1457"/>
        <w:gridCol w:w="998"/>
        <w:gridCol w:w="625"/>
        <w:gridCol w:w="1455"/>
        <w:gridCol w:w="997"/>
      </w:tblGrid>
      <w:tr>
        <w:trPr/>
        <w:tc>
          <w:tcPr>
            <w:tcW w:w="348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62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OR</w:t>
            </w:r>
          </w:p>
        </w:tc>
        <w:tc>
          <w:tcPr>
            <w:tcW w:w="14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95% IC</w:t>
            </w:r>
          </w:p>
        </w:tc>
        <w:tc>
          <w:tcPr>
            <w:tcW w:w="99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Valor p</w:t>
            </w:r>
          </w:p>
        </w:tc>
        <w:tc>
          <w:tcPr>
            <w:tcW w:w="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OR</w:t>
            </w:r>
          </w:p>
        </w:tc>
        <w:tc>
          <w:tcPr>
            <w:tcW w:w="145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95% IC</w:t>
            </w:r>
          </w:p>
        </w:tc>
        <w:tc>
          <w:tcPr>
            <w:tcW w:w="99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Valor p</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Exposição</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&lt;70</w:t>
            </w:r>
          </w:p>
        </w:tc>
        <w:tc>
          <w:tcPr>
            <w:tcW w:w="62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14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70+</w:t>
            </w:r>
          </w:p>
        </w:tc>
        <w:tc>
          <w:tcPr>
            <w:tcW w:w="62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1.87</w:t>
            </w:r>
          </w:p>
        </w:tc>
        <w:tc>
          <w:tcPr>
            <w:tcW w:w="14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1.15 to 2.97</w:t>
            </w:r>
          </w:p>
        </w:tc>
        <w:tc>
          <w:tcPr>
            <w:tcW w:w="99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0.009</w:t>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2.02</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1.20 to 3.38</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0.008</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Sexo</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0.62</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0.39 to 0.99</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0.047</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Hipertensão arterial sistêmica</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FALSE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TRUE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0.97</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0.49 to 2.08</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0.943</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ASA</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0.68</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0.27 to 1.64</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0.395</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0.71</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0.16 to 2.67</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0.630</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Diabetes mellitus</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FALSE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TRUE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1.06</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0.56 to 1.91</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0.849</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Tabagismo</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FALSE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TRUE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2.27</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1.14 to 4.36</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bookmarkStart w:id="34" w:name="processo-de-modelagem"/>
            <w:r>
              <w:rPr>
                <w:b w:val="false"/>
                <w:bCs w:val="false"/>
                <w:i w:val="false"/>
                <w:iCs w:val="false"/>
                <w:strike w:val="false"/>
                <w:dstrike w:val="false"/>
                <w:outline w:val="false"/>
                <w:shadow w:val="false"/>
                <w:color w:val="000000"/>
                <w:sz w:val="22"/>
                <w:szCs w:val="22"/>
                <w:u w:val="none"/>
                <w:lang w:val="pt-BR" w:eastAsia="en-US" w:bidi="ar-SA"/>
              </w:rPr>
              <w:t>0.016</w:t>
            </w:r>
            <w:bookmarkEnd w:id="34"/>
          </w:p>
        </w:tc>
      </w:tr>
    </w:tbl>
    <w:p>
      <w:pPr>
        <w:pStyle w:val="Heading2"/>
        <w:rPr>
          <w:lang w:val="pt-BR" w:eastAsia="en-US" w:bidi="ar-SA"/>
        </w:rPr>
      </w:pPr>
      <w:bookmarkStart w:id="35" w:name="__RefHeading___Toc9063_3117552864"/>
      <w:bookmarkEnd w:id="35"/>
      <w:r>
        <w:rPr>
          <w:lang w:val="pt-BR" w:eastAsia="en-US" w:bidi="ar-SA"/>
        </w:rPr>
        <w:t>Análises associadas</w:t>
      </w:r>
    </w:p>
    <w:p>
      <w:pPr>
        <w:pStyle w:val="FirstParagraph"/>
        <w:rPr>
          <w:lang w:val="pt-BR" w:eastAsia="en-US" w:bidi="ar-SA"/>
        </w:rPr>
      </w:pPr>
      <w:r>
        <w:rPr>
          <w:lang w:val="pt-BR" w:eastAsia="en-US" w:bidi="ar-SA"/>
        </w:rPr>
        <w:t>Esta análise é parte de um projeto maior e é suportada por outras análises, disponíveis abaixo.</w:t>
      </w:r>
    </w:p>
    <w:p>
      <w:pPr>
        <w:pStyle w:val="TextBody"/>
        <w:rPr>
          <w:lang w:val="pt-BR" w:eastAsia="en-US" w:bidi="ar-SA"/>
        </w:rPr>
      </w:pPr>
      <w:r>
        <w:rPr>
          <w:b/>
          <w:bCs/>
          <w:lang w:val="pt-BR" w:eastAsia="en-US" w:bidi="ar-SA"/>
        </w:rPr>
        <w:t>Preparo da base de dados de estudo retrospectivo de complicações após artroplastia total de quadril primária em idosos</w:t>
      </w:r>
    </w:p>
    <w:p>
      <w:pPr>
        <w:pStyle w:val="TextBody"/>
        <w:rPr/>
      </w:pPr>
      <w:hyperlink r:id="rId3">
        <w:r>
          <w:rPr>
            <w:rStyle w:val="InternetLink"/>
            <w:lang w:val="pt-BR" w:eastAsia="en-US" w:bidi="ar-SA"/>
          </w:rPr>
          <w:t>https://github.com/philsf-biostat/SAR-2021-023-LP</w:t>
        </w:r>
      </w:hyperlink>
    </w:p>
    <w:p>
      <w:pPr>
        <w:pStyle w:val="Heading2"/>
        <w:rPr>
          <w:lang w:val="pt-BR" w:eastAsia="en-US" w:bidi="ar-SA"/>
        </w:rPr>
      </w:pPr>
      <w:bookmarkStart w:id="36" w:name="__RefHeading___Toc9065_3117552864"/>
      <w:bookmarkEnd w:id="36"/>
      <w:r>
        <w:rPr>
          <w:lang w:val="pt-BR" w:eastAsia="en-US" w:bidi="ar-SA"/>
        </w:rPr>
        <w:t>Disponibilidade</w:t>
      </w:r>
    </w:p>
    <w:p>
      <w:pPr>
        <w:pStyle w:val="FirstParagraph"/>
        <w:rPr>
          <w:lang w:val="pt-BR" w:eastAsia="en-US" w:bidi="ar-SA"/>
        </w:rPr>
      </w:pPr>
      <w:r>
        <w:rPr>
          <w:lang w:val="pt-BR" w:eastAsia="en-US" w:bidi="ar-SA"/>
        </w:rPr>
        <w:t>Tanto este documento como o plano analítico correspondente (</w:t>
      </w:r>
      <w:r>
        <w:rPr>
          <w:b/>
          <w:bCs/>
          <w:lang w:val="pt-BR" w:eastAsia="en-US" w:bidi="ar-SA"/>
        </w:rPr>
        <w:t>SAP-2022-006-LP-v01</w:t>
      </w:r>
      <w:r>
        <w:rPr>
          <w:lang w:val="pt-BR" w:eastAsia="en-US" w:bidi="ar-SA"/>
        </w:rPr>
        <w:t>) podem ser obtidos no seguinte endereço:</w:t>
      </w:r>
    </w:p>
    <w:p>
      <w:pPr>
        <w:pStyle w:val="TextBody"/>
        <w:rPr/>
      </w:pPr>
      <w:hyperlink r:id="rId4">
        <w:bookmarkStart w:id="37" w:name="disponibilidade"/>
        <w:r>
          <w:rPr>
            <w:rStyle w:val="InternetLink"/>
            <w:lang w:val="pt-BR" w:eastAsia="en-US" w:bidi="ar-SA"/>
          </w:rPr>
          <w:t>https://philsf-biostat.github.io/SAR-2022-006-LP/</w:t>
        </w:r>
      </w:hyperlink>
      <w:bookmarkEnd w:id="37"/>
    </w:p>
    <w:p>
      <w:pPr>
        <w:pStyle w:val="Heading2"/>
        <w:rPr>
          <w:lang w:val="pt-BR" w:eastAsia="en-US" w:bidi="ar-SA"/>
        </w:rPr>
      </w:pPr>
      <w:bookmarkStart w:id="38" w:name="__RefHeading___Toc9067_3117552864"/>
      <w:bookmarkEnd w:id="38"/>
      <w:r>
        <w:rPr>
          <w:lang w:val="pt-BR" w:eastAsia="en-US" w:bidi="ar-SA"/>
        </w:rPr>
        <w:t>Dados utilizados</w:t>
      </w:r>
    </w:p>
    <w:p>
      <w:pPr>
        <w:pStyle w:val="FirstParagraph"/>
        <w:rPr>
          <w:lang w:val="pt-BR" w:eastAsia="en-US" w:bidi="ar-SA"/>
        </w:rPr>
      </w:pPr>
      <w:r>
        <w:rPr>
          <w:lang w:val="pt-BR" w:eastAsia="en-US" w:bidi="ar-SA"/>
        </w:rPr>
        <w:t>A tabela A1 mostra a estrutura da tabela de dados analíticos.</w:t>
      </w:r>
    </w:p>
    <w:p>
      <w:pPr>
        <w:pStyle w:val="TableCaption"/>
        <w:rPr>
          <w:lang w:val="pt-BR" w:eastAsia="en-US" w:bidi="ar-SA"/>
        </w:rPr>
      </w:pPr>
      <w:r>
        <w:rPr>
          <w:b/>
          <w:bCs/>
          <w:lang w:val="pt-BR" w:eastAsia="en-US" w:bidi="ar-SA"/>
        </w:rPr>
        <w:t>Tabela A2</w:t>
      </w:r>
      <w:r>
        <w:rPr>
          <w:lang w:val="pt-BR" w:eastAsia="en-US" w:bidi="ar-SA"/>
        </w:rPr>
        <w:t xml:space="preserve"> Estrutura da tabela de dados analíticos</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514"/>
        <w:gridCol w:w="963"/>
        <w:gridCol w:w="1262"/>
        <w:gridCol w:w="963"/>
        <w:gridCol w:w="814"/>
        <w:gridCol w:w="665"/>
        <w:gridCol w:w="665"/>
        <w:gridCol w:w="516"/>
        <w:gridCol w:w="1557"/>
      </w:tblGrid>
      <w:tr>
        <w:trPr/>
        <w:tc>
          <w:tcPr>
            <w:tcW w:w="51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id</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group</w:t>
            </w:r>
          </w:p>
        </w:tc>
        <w:tc>
          <w:tcPr>
            <w:tcW w:w="1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outcome</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idade</w:t>
            </w:r>
          </w:p>
        </w:tc>
        <w:tc>
          <w:tcPr>
            <w:tcW w:w="81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sexo</w:t>
            </w:r>
          </w:p>
        </w:tc>
        <w:tc>
          <w:tcPr>
            <w:tcW w:w="66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has</w:t>
            </w:r>
          </w:p>
        </w:tc>
        <w:tc>
          <w:tcPr>
            <w:tcW w:w="66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asa</w:t>
            </w:r>
          </w:p>
        </w:tc>
        <w:tc>
          <w:tcPr>
            <w:tcW w:w="51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dm</w:t>
            </w:r>
          </w:p>
        </w:tc>
        <w:tc>
          <w:tcPr>
            <w:tcW w:w="155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tabagismo</w:t>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1</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2</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3</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N</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bl>
    <w:p>
      <w:pPr>
        <w:pStyle w:val="TextBody"/>
        <w:spacing w:before="180" w:after="180"/>
        <w:rPr>
          <w:lang w:val="pt-BR" w:eastAsia="en-US" w:bidi="ar-SA"/>
        </w:rPr>
      </w:pPr>
      <w:bookmarkStart w:id="39" w:name="apêndice"/>
      <w:bookmarkStart w:id="40" w:name="dados-utilizados"/>
      <w:r>
        <w:rPr>
          <w:lang w:val="pt-BR" w:eastAsia="en-US" w:bidi="ar-SA"/>
        </w:rPr>
        <w:t>Os dados utilizados neste relatório não podem ser publicados online por questões de sigilo.</w:t>
      </w:r>
      <w:bookmarkEnd w:id="39"/>
      <w:bookmarkEnd w:id="40"/>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6"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2" w:type="dxa"/>
          <w:tcBorders/>
          <w:vAlign w:val="center"/>
        </w:tcPr>
        <w:p>
          <w:pPr>
            <w:pStyle w:val="CabealhoeRodap"/>
            <w:widowControl w:val="false"/>
            <w:jc w:val="center"/>
            <w:rPr>
              <w:lang w:val="pt-BR" w:eastAsia="en-US" w:bidi="ar-SA"/>
            </w:rPr>
          </w:pPr>
          <w:r>
            <w:rPr>
              <w:lang w:val="pt-BR"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6</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7</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8pt;margin-top:236.5pt;width:466.35pt;height:164.1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5"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83"/>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hilsf-biostat/SAR-2021-023-LP" TargetMode="External"/><Relationship Id="rId4" Type="http://schemas.openxmlformats.org/officeDocument/2006/relationships/hyperlink" Target="https://philsf-biostat.github.io/SAR-2022-006-LP/"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Application>LibreOffice/7.3.2.2$Linux_X86_64 LibreOffice_project/30$Build-2</Application>
  <AppVersion>15.0000</AppVersion>
  <Pages>7</Pages>
  <Words>933</Words>
  <Characters>4940</Characters>
  <CharactersWithSpaces>5739</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2022-03-28T22:17:50Z</dcterms:created>
  <dc:creator>De: Felipe Figueiredo Para: Lourenço Peixoto</dc:creator>
  <dc:description/>
  <dc:language>pt-BR</dc:language>
  <cp:lastModifiedBy>Felipe Figueiredo</cp:lastModifiedBy>
  <dcterms:modified xsi:type="dcterms:W3CDTF">2022-04-09T08:32:04Z</dcterms:modified>
  <cp:revision>9</cp:revision>
  <dc:subject/>
  <dc:title>Prevalência de complicações em idosos após revisão de artroplastia total de quadril em hospital de referência no RJ (2016 – 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2022-03-28</vt:lpwstr>
  </property>
  <property fmtid="{D5CDD505-2E9C-101B-9397-08002B2CF9AE}" pid="3" name="output">
    <vt:lpwstr/>
  </property>
  <property fmtid="{D5CDD505-2E9C-101B-9397-08002B2CF9AE}" pid="4" name="subtitle">
    <vt:lpwstr>DOCUMENTO: SAR-2022-006-LP-v01</vt:lpwstr>
  </property>
  <property fmtid="{D5CDD505-2E9C-101B-9397-08002B2CF9AE}" pid="5" name="toc-title">
    <vt:lpwstr>Sumário</vt:lpwstr>
  </property>
</Properties>
</file>