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telework satisfaction at NASA (2020): sex-adjusted stratified analysis</w:t>
      </w:r>
    </w:p>
    <w:p>
      <w:pPr>
        <w:pStyle w:val="Subtitle"/>
        <w:rPr/>
      </w:pPr>
      <w:r>
        <w:rPr/>
        <w:t>DOCUMENT: SAR-2022-007-GJ-v01</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5041_785382680">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5043_785382680">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5045_785382680">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5047_785382680">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5049_785382680">
            <w:r>
              <w:rPr>
                <w:webHidden/>
                <w:rStyle w:val="IndexLink"/>
              </w:rPr>
              <w:t xml:space="preserve"> </w:t>
            </w:r>
            <w:r>
              <w:rPr>
                <w:rStyle w:val="IndexLink"/>
              </w:rPr>
              <w:t>3  Methods</w:t>
              <w:tab/>
              <w:t>3</w:t>
            </w:r>
          </w:hyperlink>
        </w:p>
        <w:p>
          <w:pPr>
            <w:pStyle w:val="Contents2"/>
            <w:tabs>
              <w:tab w:val="clear" w:pos="9077"/>
              <w:tab w:val="right" w:pos="9638" w:leader="dot"/>
            </w:tabs>
            <w:rPr/>
          </w:pPr>
          <w:hyperlink w:anchor="__RefHeading___Toc5051_785382680">
            <w:r>
              <w:rPr>
                <w:webHidden/>
                <w:rStyle w:val="IndexLink"/>
              </w:rPr>
              <w:t xml:space="preserve"> </w:t>
            </w:r>
            <w:r>
              <w:rPr>
                <w:rStyle w:val="IndexLink"/>
              </w:rPr>
              <w:t>3.1  Variables</w:t>
              <w:tab/>
              <w:t>3</w:t>
            </w:r>
          </w:hyperlink>
        </w:p>
        <w:p>
          <w:pPr>
            <w:pStyle w:val="Contents3"/>
            <w:tabs>
              <w:tab w:val="clear" w:pos="8794"/>
              <w:tab w:val="right" w:pos="9638" w:leader="dot"/>
            </w:tabs>
            <w:rPr/>
          </w:pPr>
          <w:hyperlink w:anchor="__RefHeading___Toc5053_785382680">
            <w:r>
              <w:rPr>
                <w:webHidden/>
                <w:rStyle w:val="IndexLink"/>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5055_785382680">
            <w:r>
              <w:rPr>
                <w:webHidden/>
                <w:rStyle w:val="IndexLink"/>
              </w:rPr>
              <w:t xml:space="preserve"> </w:t>
            </w:r>
            <w:r>
              <w:rPr>
                <w:rStyle w:val="IndexLink"/>
              </w:rPr>
              <w:t>3.1.2  Covariates</w:t>
              <w:tab/>
              <w:t>3</w:t>
            </w:r>
          </w:hyperlink>
        </w:p>
        <w:p>
          <w:pPr>
            <w:pStyle w:val="Contents2"/>
            <w:tabs>
              <w:tab w:val="clear" w:pos="9077"/>
              <w:tab w:val="right" w:pos="9638" w:leader="dot"/>
            </w:tabs>
            <w:rPr/>
          </w:pPr>
          <w:hyperlink w:anchor="__RefHeading___Toc5057_785382680">
            <w:r>
              <w:rPr>
                <w:webHidden/>
                <w:rStyle w:val="IndexLink"/>
              </w:rPr>
              <w:t xml:space="preserve"> </w:t>
            </w:r>
            <w:r>
              <w:rPr>
                <w:rStyle w:val="IndexLink"/>
              </w:rPr>
              <w:t>3.2  Statistical analyses</w:t>
              <w:tab/>
              <w:t>3</w:t>
            </w:r>
          </w:hyperlink>
        </w:p>
        <w:p>
          <w:pPr>
            <w:pStyle w:val="Contents1"/>
            <w:tabs>
              <w:tab w:val="clear" w:pos="9360"/>
              <w:tab w:val="right" w:pos="9638" w:leader="dot"/>
            </w:tabs>
            <w:rPr/>
          </w:pPr>
          <w:hyperlink w:anchor="__RefHeading___Toc5059_785382680">
            <w:r>
              <w:rPr>
                <w:webHidden/>
                <w:rStyle w:val="IndexLink"/>
              </w:rPr>
              <w:t xml:space="preserve"> </w:t>
            </w:r>
            <w:r>
              <w:rPr>
                <w:rStyle w:val="IndexLink"/>
              </w:rPr>
              <w:t>4  Results</w:t>
              <w:tab/>
              <w:t>4</w:t>
            </w:r>
          </w:hyperlink>
        </w:p>
        <w:p>
          <w:pPr>
            <w:pStyle w:val="Contents2"/>
            <w:tabs>
              <w:tab w:val="clear" w:pos="9077"/>
              <w:tab w:val="right" w:pos="9638" w:leader="dot"/>
            </w:tabs>
            <w:rPr/>
          </w:pPr>
          <w:hyperlink w:anchor="__RefHeading___Toc5061_785382680">
            <w:r>
              <w:rPr>
                <w:webHidden/>
                <w:rStyle w:val="IndexLink"/>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5063_785382680">
            <w:r>
              <w:rPr>
                <w:webHidden/>
                <w:rStyle w:val="IndexLink"/>
              </w:rPr>
              <w:t xml:space="preserve"> </w:t>
            </w:r>
            <w:r>
              <w:rPr>
                <w:rStyle w:val="IndexLink"/>
              </w:rPr>
              <w:t>4.2  Association between leadership commitment and telework satisfaction</w:t>
              <w:tab/>
              <w:t>5</w:t>
            </w:r>
          </w:hyperlink>
        </w:p>
        <w:p>
          <w:pPr>
            <w:pStyle w:val="Contents3"/>
            <w:tabs>
              <w:tab w:val="clear" w:pos="8794"/>
              <w:tab w:val="right" w:pos="9638" w:leader="dot"/>
            </w:tabs>
            <w:rPr/>
          </w:pPr>
          <w:hyperlink w:anchor="__RefHeading___Toc5065_785382680">
            <w:r>
              <w:rPr>
                <w:webHidden/>
                <w:rStyle w:val="IndexLink"/>
              </w:rPr>
              <w:t xml:space="preserve"> </w:t>
            </w:r>
            <w:r>
              <w:rPr>
                <w:rStyle w:val="IndexLink"/>
              </w:rPr>
              <w:t>4.2.1  Overall association</w:t>
              <w:tab/>
              <w:t>5</w:t>
            </w:r>
          </w:hyperlink>
        </w:p>
        <w:p>
          <w:pPr>
            <w:pStyle w:val="Contents3"/>
            <w:tabs>
              <w:tab w:val="clear" w:pos="8794"/>
              <w:tab w:val="right" w:pos="9638" w:leader="dot"/>
            </w:tabs>
            <w:rPr/>
          </w:pPr>
          <w:hyperlink w:anchor="__RefHeading___Toc5067_785382680">
            <w:r>
              <w:rPr>
                <w:webHidden/>
                <w:rStyle w:val="IndexLink"/>
              </w:rPr>
              <w:t xml:space="preserve"> </w:t>
            </w:r>
            <w:r>
              <w:rPr>
                <w:rStyle w:val="IndexLink"/>
              </w:rPr>
              <w:t>4.2.2  Stratification by sex</w:t>
              <w:tab/>
              <w:t>6</w:t>
            </w:r>
          </w:hyperlink>
        </w:p>
        <w:p>
          <w:pPr>
            <w:pStyle w:val="Contents1"/>
            <w:tabs>
              <w:tab w:val="clear" w:pos="9360"/>
              <w:tab w:val="right" w:pos="9638" w:leader="dot"/>
            </w:tabs>
            <w:rPr/>
          </w:pPr>
          <w:hyperlink w:anchor="__RefHeading___Toc5069_785382680">
            <w:r>
              <w:rPr>
                <w:webHidden/>
                <w:rStyle w:val="IndexLink"/>
              </w:rPr>
              <w:t xml:space="preserve"> </w:t>
            </w:r>
            <w:r>
              <w:rPr>
                <w:rStyle w:val="IndexLink"/>
              </w:rPr>
              <w:t>5  Observations and Limitations</w:t>
              <w:tab/>
              <w:t>8</w:t>
            </w:r>
          </w:hyperlink>
        </w:p>
        <w:p>
          <w:pPr>
            <w:pStyle w:val="Contents1"/>
            <w:tabs>
              <w:tab w:val="clear" w:pos="9360"/>
              <w:tab w:val="right" w:pos="9638" w:leader="dot"/>
            </w:tabs>
            <w:rPr/>
          </w:pPr>
          <w:hyperlink w:anchor="__RefHeading___Toc5071_785382680">
            <w:r>
              <w:rPr>
                <w:webHidden/>
                <w:rStyle w:val="IndexLink"/>
              </w:rPr>
              <w:t xml:space="preserve"> </w:t>
            </w:r>
            <w:r>
              <w:rPr>
                <w:rStyle w:val="IndexLink"/>
              </w:rPr>
              <w:t>6  Conclusions</w:t>
              <w:tab/>
              <w:t>8</w:t>
            </w:r>
          </w:hyperlink>
        </w:p>
        <w:p>
          <w:pPr>
            <w:pStyle w:val="Contents1"/>
            <w:tabs>
              <w:tab w:val="clear" w:pos="9360"/>
              <w:tab w:val="right" w:pos="9638" w:leader="dot"/>
            </w:tabs>
            <w:rPr/>
          </w:pPr>
          <w:hyperlink w:anchor="__RefHeading___Toc5073_785382680">
            <w:r>
              <w:rPr>
                <w:webHidden/>
                <w:rStyle w:val="IndexLink"/>
              </w:rPr>
              <w:t xml:space="preserve"> </w:t>
            </w:r>
            <w:r>
              <w:rPr>
                <w:rStyle w:val="IndexLink"/>
              </w:rPr>
              <w:t>7  References</w:t>
              <w:tab/>
              <w:t>8</w:t>
            </w:r>
          </w:hyperlink>
        </w:p>
        <w:p>
          <w:pPr>
            <w:pStyle w:val="Contents1"/>
            <w:tabs>
              <w:tab w:val="clear" w:pos="9360"/>
              <w:tab w:val="right" w:pos="9638" w:leader="dot"/>
            </w:tabs>
            <w:rPr/>
          </w:pPr>
          <w:hyperlink w:anchor="__RefHeading___Toc5075_785382680">
            <w:r>
              <w:rPr>
                <w:webHidden/>
                <w:rStyle w:val="IndexLink"/>
              </w:rPr>
              <w:t xml:space="preserve"> </w:t>
            </w:r>
            <w:r>
              <w:rPr>
                <w:rStyle w:val="IndexLink"/>
              </w:rPr>
              <w:t>8  Appendix</w:t>
              <w:tab/>
              <w:t>9</w:t>
            </w:r>
          </w:hyperlink>
        </w:p>
        <w:p>
          <w:pPr>
            <w:pStyle w:val="Contents2"/>
            <w:tabs>
              <w:tab w:val="clear" w:pos="9077"/>
              <w:tab w:val="right" w:pos="9638" w:leader="dot"/>
            </w:tabs>
            <w:rPr/>
          </w:pPr>
          <w:hyperlink w:anchor="__RefHeading___Toc5077_785382680">
            <w:r>
              <w:rPr>
                <w:webHidden/>
                <w:rStyle w:val="IndexLink"/>
              </w:rPr>
              <w:t xml:space="preserve"> </w:t>
            </w:r>
            <w:r>
              <w:rPr>
                <w:rStyle w:val="IndexLink"/>
              </w:rPr>
              <w:t>8.1  Exploratory data analysis</w:t>
              <w:tab/>
              <w:t>9</w:t>
            </w:r>
          </w:hyperlink>
        </w:p>
        <w:p>
          <w:pPr>
            <w:pStyle w:val="Contents2"/>
            <w:tabs>
              <w:tab w:val="clear" w:pos="9077"/>
              <w:tab w:val="right" w:pos="9638" w:leader="dot"/>
            </w:tabs>
            <w:rPr/>
          </w:pPr>
          <w:hyperlink w:anchor="__RefHeading___Toc5079_785382680">
            <w:r>
              <w:rPr>
                <w:webHidden/>
                <w:rStyle w:val="IndexLink"/>
              </w:rPr>
              <w:t xml:space="preserve"> </w:t>
            </w:r>
            <w:r>
              <w:rPr>
                <w:rStyle w:val="IndexLink"/>
              </w:rPr>
              <w:t>8.2  Availability</w:t>
              <w:tab/>
              <w:t>9</w:t>
            </w:r>
          </w:hyperlink>
        </w:p>
        <w:p>
          <w:pPr>
            <w:pStyle w:val="Contents2"/>
            <w:tabs>
              <w:tab w:val="clear" w:pos="9077"/>
              <w:tab w:val="right" w:pos="9638" w:leader="dot"/>
            </w:tabs>
            <w:rPr/>
          </w:pPr>
          <w:hyperlink w:anchor="__RefHeading___Toc5081_785382680">
            <w:r>
              <w:rPr>
                <w:webHidden/>
                <w:rStyle w:val="IndexLink"/>
              </w:rPr>
              <w:t xml:space="preserve"> </w:t>
            </w:r>
            <w:r>
              <w:rPr>
                <w:rStyle w:val="IndexLink"/>
              </w:rPr>
              <w:t>8.3  Analytical dataset</w:t>
              <w:tab/>
              <w:t>9</w:t>
            </w:r>
          </w:hyperlink>
          <w:r>
            <w:rPr>
              <w:rStyle w:val="IndexLink"/>
            </w:rPr>
            <w:fldChar w:fldCharType="end"/>
          </w:r>
        </w:p>
      </w:sdtContent>
    </w:sdt>
    <w:p>
      <w:pPr>
        <w:pStyle w:val="Normal"/>
        <w:rPr/>
      </w:pPr>
      <w:r>
        <w:rPr/>
        <mc:AlternateContent>
          <mc:Choice Requires="wps">
            <w:drawing>
              <wp:inline distT="0" distB="0" distL="0" distR="0">
                <wp:extent cx="6120765" cy="19685"/>
                <wp:effectExtent l="0" t="0" r="0" b="0"/>
                <wp:docPr id="1" name="Shape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telework satisfaction at NASA (2020):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270" cy="19685"/>
                <wp:effectExtent l="0" t="0" r="0" b="0"/>
                <wp:docPr id="2" name="Shape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5041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Heading1"/>
        <w:rPr/>
      </w:pPr>
      <w:bookmarkStart w:id="2" w:name="__RefHeading___Toc5043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5045_785382680"/>
      <w:bookmarkEnd w:id="3"/>
      <w:r>
        <w:rPr/>
        <w:t>Objectives</w:t>
      </w:r>
    </w:p>
    <w:p>
      <w:pPr>
        <w:pStyle w:val="FirstParagraph"/>
        <w:rPr/>
      </w:pPr>
      <w:r>
        <w:rPr/>
        <w:t>Quantify the association between leadership commitment and telework employee satisfaction at NASA from the 2020 Federal Employee Viewpoint Survey.</w:t>
      </w:r>
      <w:bookmarkStart w:id="4" w:name="objectives"/>
      <w:bookmarkEnd w:id="4"/>
    </w:p>
    <w:p>
      <w:pPr>
        <w:pStyle w:val="Heading2"/>
        <w:rPr/>
      </w:pPr>
      <w:bookmarkStart w:id="5" w:name="__RefHeading___Toc5047_785382680"/>
      <w:bookmarkEnd w:id="5"/>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TextBody"/>
        <w:rPr/>
      </w:pPr>
      <w:r>
        <w:rPr/>
        <w:t>The raw data is expected to reflect a total employee population at NASA at 16809 employees but after cleaning procedures the observations in the analytical data represents a total of 15054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9493 observations.</w:t>
      </w:r>
      <w:bookmarkStart w:id="6" w:name="context"/>
      <w:bookmarkStart w:id="7" w:name="data-reception-and-cleaning"/>
      <w:bookmarkEnd w:id="6"/>
      <w:bookmarkEnd w:id="7"/>
    </w:p>
    <w:p>
      <w:pPr>
        <w:pStyle w:val="Heading1"/>
        <w:rPr/>
      </w:pPr>
      <w:bookmarkStart w:id="8" w:name="__RefHeading___Toc5049_785382680"/>
      <w:bookmarkEnd w:id="8"/>
      <w:r>
        <w:rPr/>
        <w:t>Methods</w:t>
      </w:r>
    </w:p>
    <w:p>
      <w:pPr>
        <w:pStyle w:val="Heading2"/>
        <w:rPr/>
      </w:pPr>
      <w:bookmarkStart w:id="9" w:name="__RefHeading___Toc5051_785382680"/>
      <w:bookmarkEnd w:id="9"/>
      <w:r>
        <w:rPr/>
        <w:t>Variables</w:t>
      </w:r>
    </w:p>
    <w:p>
      <w:pPr>
        <w:pStyle w:val="Heading3"/>
        <w:rPr/>
      </w:pPr>
      <w:bookmarkStart w:id="10" w:name="__RefHeading___Toc5053_785382680"/>
      <w:bookmarkEnd w:id="10"/>
      <w:r>
        <w:rPr/>
        <w:t>Primary and secondary outcomes</w:t>
      </w:r>
    </w:p>
    <w:p>
      <w:pPr>
        <w:pStyle w:val="FirstParagraph"/>
        <w:rPr/>
      </w:pPr>
      <w:r>
        <w:rPr>
          <w:b/>
          <w:bCs/>
        </w:rPr>
        <w:t>Primary outcome</w:t>
      </w:r>
    </w:p>
    <w:p>
      <w:pPr>
        <w:pStyle w:val="TextBody"/>
        <w:rPr/>
      </w:pPr>
      <w:r>
        <w:rPr/>
        <w:t>Odds of participants that are satisfied with telework at NASA from the 2020 Federal Employee Viewpoint Survey.</w:t>
      </w:r>
      <w:bookmarkStart w:id="11" w:name="primary-and-secondary-outcomes"/>
      <w:bookmarkEnd w:id="11"/>
    </w:p>
    <w:p>
      <w:pPr>
        <w:pStyle w:val="Heading3"/>
        <w:rPr/>
      </w:pPr>
      <w:bookmarkStart w:id="12" w:name="__RefHeading___Toc5055_785382680"/>
      <w:bookmarkEnd w:id="12"/>
      <w:r>
        <w:rPr/>
        <w:t>Covariates</w:t>
      </w:r>
    </w:p>
    <w:p>
      <w:pPr>
        <w:pStyle w:val="FirstParagraph"/>
        <w:rPr/>
      </w:pPr>
      <w:r>
        <w:rPr/>
        <w:t>The association will be stratified by the sex of survey respondents.</w:t>
      </w:r>
      <w:bookmarkStart w:id="13" w:name="variables"/>
      <w:bookmarkStart w:id="14" w:name="covariates"/>
      <w:bookmarkEnd w:id="13"/>
      <w:bookmarkEnd w:id="14"/>
    </w:p>
    <w:p>
      <w:pPr>
        <w:pStyle w:val="Heading2"/>
        <w:rPr/>
      </w:pPr>
      <w:bookmarkStart w:id="15" w:name="__RefHeading___Toc5057_785382680"/>
      <w:bookmarkEnd w:id="15"/>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Start w:id="16" w:name="methods"/>
      <w:bookmarkStart w:id="17" w:name="statistical-analyses"/>
      <w:bookmarkEnd w:id="16"/>
      <w:bookmarkEnd w:id="17"/>
    </w:p>
    <w:p>
      <w:pPr>
        <w:pStyle w:val="Heading1"/>
        <w:rPr/>
      </w:pPr>
      <w:bookmarkStart w:id="18" w:name="__RefHeading___Toc5059_785382680"/>
      <w:bookmarkEnd w:id="18"/>
      <w:r>
        <w:rPr/>
        <w:t>Results</w:t>
      </w:r>
    </w:p>
    <w:p>
      <w:pPr>
        <w:pStyle w:val="Heading2"/>
        <w:rPr/>
      </w:pPr>
      <w:bookmarkStart w:id="19" w:name="__RefHeading___Toc5061_785382680"/>
      <w:bookmarkEnd w:id="19"/>
      <w:r>
        <w:rPr/>
        <w:t>Study population and follow up</w:t>
      </w:r>
    </w:p>
    <w:p>
      <w:pPr>
        <w:pStyle w:val="FirstParagraph"/>
        <w:rPr/>
      </w:pPr>
      <w:r>
        <w:rPr/>
        <w:t>The sample evaluated in this study is comprised of 9493 observations representing 15054 NASA employees, out of a total of 16809.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(q29 – How satisfied are you with the Telework program in your agency?) was 94.6%. The proportion of employees that agree or strongly agree with leadership commitment (q58 – Managers promote communication among different work units (for example, about projects, goals, needed resources)) was 80.6%.</w:t>
      </w:r>
      <w:r>
        <w:br w:type="page"/>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224"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6978"/>
        <w:gridCol w:w="1245"/>
      </w:tblGrid>
      <w:tr>
        <w:trPr/>
        <w:tc>
          <w:tcPr>
            <w:tcW w:w="69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24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15,054</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9,999 (66)</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5,055 (34)</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How satisfied are you with the Telework program in your agency?</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63 (0.4)</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198 (1.3)</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559 (3.7)</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4,210 (28)</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10,023 (67)</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Managers promote communication among different work units.</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305 (2.0)</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790 (5.2)</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1,826 (12)</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6,716 (45)</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5,417 (36)</w:t>
            </w:r>
            <w:bookmarkStart w:id="20" w:name="study-population-and-follow-up"/>
            <w:bookmarkEnd w:id="20"/>
          </w:p>
        </w:tc>
      </w:tr>
    </w:tbl>
    <w:p>
      <w:pPr>
        <w:pStyle w:val="Heading2"/>
        <w:rPr/>
      </w:pPr>
      <w:bookmarkStart w:id="21" w:name="__RefHeading___Toc5063_785382680"/>
      <w:bookmarkEnd w:id="21"/>
      <w:r>
        <w:rPr/>
        <w:t>Association between leadership commitment and telework satisfaction</w:t>
      </w:r>
    </w:p>
    <w:p>
      <w:pPr>
        <w:pStyle w:val="Heading3"/>
        <w:rPr/>
      </w:pPr>
      <w:bookmarkStart w:id="22" w:name="__RefHeading___Toc5065_785382680"/>
      <w:bookmarkEnd w:id="22"/>
      <w:r>
        <w:rPr/>
        <w:t>Overall association</w:t>
      </w:r>
    </w:p>
    <w:p>
      <w:pPr>
        <w:pStyle w:val="TextBody"/>
        <w:rPr/>
      </w:pPr>
      <w:r>
        <w:rPr/>
        <w:t>In order to compare how the responses to the leadership commitment and telework satisfaction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telework satisfaction.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survey responses.</w:t>
      </w:r>
    </w:p>
    <w:tbl>
      <w:tblPr>
        <w:tblW w:w="9658" w:type="dxa"/>
        <w:jc w:val="left"/>
        <w:tblInd w:w="35" w:type="dxa"/>
        <w:tblLayout w:type="fixed"/>
        <w:tblCellMar>
          <w:top w:w="55" w:type="dxa"/>
          <w:left w:w="55" w:type="dxa"/>
          <w:bottom w:w="55" w:type="dxa"/>
          <w:right w:w="55" w:type="dxa"/>
        </w:tblCellMar>
      </w:tblPr>
      <w:tblGrid>
        <w:gridCol w:w="1819"/>
        <w:gridCol w:w="1025"/>
        <w:gridCol w:w="1182"/>
        <w:gridCol w:w="1182"/>
        <w:gridCol w:w="1182"/>
        <w:gridCol w:w="1182"/>
        <w:gridCol w:w="1183"/>
        <w:gridCol w:w="901"/>
      </w:tblGrid>
      <w:tr>
        <w:trPr/>
        <w:tc>
          <w:tcPr>
            <w:tcW w:w="1819" w:type="dxa"/>
            <w:tcBorders>
              <w:top w:val="single" w:sz="4" w:space="0" w:color="000000"/>
              <w:left w:val="single" w:sz="4" w:space="0" w:color="000000"/>
              <w:bottom w:val="single" w:sz="4" w:space="0" w:color="000000"/>
            </w:tcBorders>
            <w:shd w:color="auto" w:fill="B2B2B2"/>
            <w:vAlign w:val="center"/>
          </w:tcPr>
          <w:p>
            <w:pPr>
              <w:pStyle w:val="Compact"/>
              <w:widowControl w:val="false"/>
              <w:rPr>
                <w:b/>
                <w:b/>
                <w:bCs/>
              </w:rPr>
            </w:pPr>
            <w:r>
              <w:rPr>
                <w:b/>
                <w:bCs/>
              </w:rPr>
              <w:t>Characteristic</w:t>
            </w:r>
          </w:p>
        </w:tc>
        <w:tc>
          <w:tcPr>
            <w:tcW w:w="1025" w:type="dxa"/>
            <w:tcBorders>
              <w:top w:val="single" w:sz="4" w:space="0" w:color="000000"/>
              <w:left w:val="single" w:sz="4" w:space="0" w:color="000000"/>
              <w:bottom w:val="single" w:sz="4" w:space="0" w:color="000000"/>
            </w:tcBorders>
            <w:shd w:color="auto" w:fill="B2B2B2"/>
            <w:vAlign w:val="center"/>
          </w:tcPr>
          <w:p>
            <w:pPr>
              <w:pStyle w:val="Compact"/>
              <w:widowControl w:val="false"/>
              <w:rPr/>
            </w:pPr>
            <w:r>
              <w:rPr>
                <w:b/>
                <w:bCs/>
                <w:i w:val="false"/>
                <w:iCs w:val="false"/>
                <w:strike w:val="false"/>
                <w:dstrike w:val="false"/>
                <w:outline w:val="false"/>
                <w:shadow w:val="false"/>
                <w:color w:val="000000"/>
                <w:sz w:val="20"/>
                <w:szCs w:val="20"/>
                <w:u w:val="none"/>
              </w:rPr>
              <w:t>Overall</w:t>
            </w:r>
            <w:r>
              <w:rPr>
                <w:b w:val="false"/>
                <w:bCs w:val="false"/>
                <w:i w:val="false"/>
                <w:iCs w:val="false"/>
                <w:strike w:val="false"/>
                <w:dstrike w:val="false"/>
                <w:outline w:val="false"/>
                <w:shadow w:val="false"/>
                <w:color w:val="000000"/>
                <w:sz w:val="20"/>
                <w:szCs w:val="20"/>
                <w:u w:val="none"/>
              </w:rPr>
              <w:t>, N = 15,053</w:t>
            </w:r>
            <w:r>
              <w:rPr>
                <w:b w:val="false"/>
                <w:bCs w:val="false"/>
                <w:i/>
                <w:iCs w:val="false"/>
                <w:strike w:val="false"/>
                <w:dstrike w:val="false"/>
                <w:outline w:val="false"/>
                <w:shadow w:val="false"/>
                <w:color w:val="000000"/>
                <w:sz w:val="20"/>
                <w:szCs w:val="20"/>
                <w:u w:val="none"/>
                <w:vertAlign w:val="superscript"/>
              </w:rPr>
              <w:t>1</w:t>
            </w:r>
          </w:p>
        </w:tc>
        <w:tc>
          <w:tcPr>
            <w:tcW w:w="5911" w:type="dxa"/>
            <w:gridSpan w:val="5"/>
            <w:tcBorders>
              <w:top w:val="single" w:sz="4" w:space="0" w:color="000000"/>
              <w:left w:val="single" w:sz="4" w:space="0" w:color="000000"/>
              <w:bottom w:val="single" w:sz="4" w:space="0" w:color="000000"/>
            </w:tcBorders>
            <w:shd w:color="auto" w:fill="B2B2B2"/>
            <w:vAlign w:val="center"/>
          </w:tcPr>
          <w:p>
            <w:pPr>
              <w:pStyle w:val="Compact"/>
              <w:widowControl w:val="false"/>
              <w:rPr/>
            </w:pPr>
            <w:r>
              <w:rPr>
                <w:b/>
                <w:bCs/>
                <w:i w:val="false"/>
                <w:iCs w:val="false"/>
                <w:strike w:val="false"/>
                <w:dstrike w:val="false"/>
                <w:outline w:val="false"/>
                <w:shadow w:val="false"/>
                <w:color w:val="000000"/>
                <w:sz w:val="20"/>
                <w:szCs w:val="20"/>
                <w:u w:val="none"/>
              </w:rPr>
              <w:t>How satisfied are you with the Telework program in your agency?</w:t>
            </w:r>
            <w:r>
              <w:rPr>
                <w:b w:val="false"/>
                <w:bCs w:val="false"/>
                <w:i w:val="false"/>
                <w:iCs w:val="false"/>
                <w:strike w:val="false"/>
                <w:dstrike w:val="false"/>
                <w:outline w:val="false"/>
                <w:shadow w:val="false"/>
                <w:color w:val="000000"/>
                <w:sz w:val="20"/>
                <w:szCs w:val="20"/>
                <w:u w:val="none"/>
              </w:rPr>
              <w:t>, n(%)</w:t>
            </w:r>
          </w:p>
        </w:tc>
        <w:tc>
          <w:tcPr>
            <w:tcW w:w="901"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1819" w:type="dxa"/>
            <w:tcBorders>
              <w:left w:val="single" w:sz="4" w:space="0" w:color="000000"/>
              <w:bottom w:val="single" w:sz="4" w:space="0" w:color="000000"/>
            </w:tcBorders>
            <w:vAlign w:val="center"/>
          </w:tcPr>
          <w:p>
            <w:pPr>
              <w:pStyle w:val="Compact"/>
              <w:widowControl w:val="false"/>
              <w:rPr/>
            </w:pPr>
            <w:r>
              <w:rPr/>
            </w:r>
          </w:p>
        </w:tc>
        <w:tc>
          <w:tcPr>
            <w:tcW w:w="1025" w:type="dxa"/>
            <w:tcBorders>
              <w:left w:val="single" w:sz="4" w:space="0" w:color="000000"/>
              <w:bottom w:val="single" w:sz="4" w:space="0" w:color="000000"/>
            </w:tcBorders>
            <w:vAlign w:val="center"/>
          </w:tcPr>
          <w:p>
            <w:pPr>
              <w:pStyle w:val="Compact"/>
              <w:widowControl w:val="false"/>
              <w:rPr/>
            </w:pPr>
            <w:r>
              <w:rPr/>
            </w:r>
          </w:p>
        </w:tc>
        <w:tc>
          <w:tcPr>
            <w:tcW w:w="1182" w:type="dxa"/>
            <w:tcBorders>
              <w:left w:val="single" w:sz="4" w:space="0" w:color="000000"/>
              <w:bottom w:val="single" w:sz="4" w:space="0" w:color="000000"/>
            </w:tcBorders>
            <w:vAlign w:val="center"/>
          </w:tcPr>
          <w:p>
            <w:pPr>
              <w:pStyle w:val="Compact"/>
              <w:widowControl w:val="false"/>
              <w:rPr/>
            </w:pPr>
            <w:r>
              <w:rPr>
                <w:b/>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63</w:t>
            </w:r>
            <w:r>
              <w:rPr>
                <w:b w:val="false"/>
                <w:bCs w:val="false"/>
                <w:i/>
                <w:iCs w:val="false"/>
                <w:strike w:val="false"/>
                <w:dstrike w:val="false"/>
                <w:outline w:val="false"/>
                <w:shadow w:val="false"/>
                <w:color w:val="000000"/>
                <w:sz w:val="20"/>
                <w:szCs w:val="20"/>
                <w:u w:val="none"/>
                <w:vertAlign w:val="superscript"/>
              </w:rPr>
              <w:t>1</w:t>
            </w:r>
          </w:p>
        </w:tc>
        <w:tc>
          <w:tcPr>
            <w:tcW w:w="1182" w:type="dxa"/>
            <w:tcBorders>
              <w:left w:val="single" w:sz="4" w:space="0" w:color="000000"/>
              <w:bottom w:val="single" w:sz="4" w:space="0" w:color="000000"/>
            </w:tcBorders>
            <w:vAlign w:val="center"/>
          </w:tcPr>
          <w:p>
            <w:pPr>
              <w:pStyle w:val="Compact"/>
              <w:widowControl w:val="false"/>
              <w:rPr/>
            </w:pPr>
            <w:r>
              <w:rPr>
                <w:b/>
                <w:bCs w:val="false"/>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198</w:t>
            </w:r>
            <w:r>
              <w:rPr>
                <w:b w:val="false"/>
                <w:bCs w:val="false"/>
                <w:i/>
                <w:iCs w:val="false"/>
                <w:strike w:val="false"/>
                <w:dstrike w:val="false"/>
                <w:outline w:val="false"/>
                <w:shadow w:val="false"/>
                <w:color w:val="000000"/>
                <w:sz w:val="20"/>
                <w:szCs w:val="20"/>
                <w:u w:val="none"/>
                <w:vertAlign w:val="superscript"/>
              </w:rPr>
              <w:t>1</w:t>
            </w:r>
          </w:p>
        </w:tc>
        <w:tc>
          <w:tcPr>
            <w:tcW w:w="1182" w:type="dxa"/>
            <w:tcBorders>
              <w:left w:val="single" w:sz="4" w:space="0" w:color="000000"/>
              <w:bottom w:val="single" w:sz="4" w:space="0" w:color="000000"/>
            </w:tcBorders>
            <w:vAlign w:val="center"/>
          </w:tcPr>
          <w:p>
            <w:pPr>
              <w:pStyle w:val="Compact"/>
              <w:widowControl w:val="false"/>
              <w:rPr/>
            </w:pPr>
            <w:r>
              <w:rPr>
                <w:b/>
                <w:bCs w:val="false"/>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559</w:t>
            </w:r>
            <w:r>
              <w:rPr>
                <w:b w:val="false"/>
                <w:bCs w:val="false"/>
                <w:i/>
                <w:iCs w:val="false"/>
                <w:strike w:val="false"/>
                <w:dstrike w:val="false"/>
                <w:outline w:val="false"/>
                <w:shadow w:val="false"/>
                <w:color w:val="000000"/>
                <w:sz w:val="20"/>
                <w:szCs w:val="20"/>
                <w:u w:val="none"/>
                <w:vertAlign w:val="superscript"/>
              </w:rPr>
              <w:t>1</w:t>
            </w:r>
          </w:p>
        </w:tc>
        <w:tc>
          <w:tcPr>
            <w:tcW w:w="1182" w:type="dxa"/>
            <w:tcBorders>
              <w:left w:val="single" w:sz="4" w:space="0" w:color="000000"/>
              <w:bottom w:val="single" w:sz="4" w:space="0" w:color="000000"/>
            </w:tcBorders>
            <w:vAlign w:val="center"/>
          </w:tcPr>
          <w:p>
            <w:pPr>
              <w:pStyle w:val="Compact"/>
              <w:widowControl w:val="false"/>
              <w:rPr/>
            </w:pPr>
            <w:r>
              <w:rPr>
                <w:b/>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4,210</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widowControl w:val="false"/>
              <w:rPr/>
            </w:pPr>
            <w:r>
              <w:rPr>
                <w:b/>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10,023</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1819" w:type="dxa"/>
            <w:tcBorders>
              <w:left w:val="single" w:sz="4" w:space="0" w:color="000000"/>
              <w:bottom w:val="single" w:sz="4" w:space="0" w:color="000000"/>
            </w:tcBorders>
            <w:vAlign w:val="center"/>
          </w:tcPr>
          <w:p>
            <w:pPr>
              <w:pStyle w:val="Compact"/>
              <w:widowControl w:val="false"/>
              <w:rPr/>
            </w:pPr>
            <w:r>
              <w:rPr>
                <w:b/>
                <w:bCs/>
                <w:i w:val="false"/>
                <w:iCs w:val="false"/>
                <w:strike w:val="false"/>
                <w:dstrike w:val="false"/>
                <w:outline w:val="false"/>
                <w:shadow w:val="false"/>
                <w:color w:val="000000"/>
                <w:sz w:val="20"/>
                <w:szCs w:val="20"/>
                <w:u w:val="none"/>
              </w:rPr>
              <w:t>Managers promote communication among different work units</w:t>
            </w:r>
            <w:r>
              <w:rPr>
                <w:b w:val="false"/>
                <w:bCs w:val="false"/>
                <w:i w:val="false"/>
                <w:iCs w:val="false"/>
                <w:strike w:val="false"/>
                <w:dstrike w:val="false"/>
                <w:outline w:val="false"/>
                <w:shadow w:val="false"/>
                <w:color w:val="000000"/>
                <w:sz w:val="20"/>
                <w:szCs w:val="20"/>
                <w:u w:val="none"/>
              </w:rPr>
              <w:t>, n(%)</w:t>
            </w:r>
          </w:p>
        </w:tc>
        <w:tc>
          <w:tcPr>
            <w:tcW w:w="1025" w:type="dxa"/>
            <w:tcBorders>
              <w:left w:val="single" w:sz="4" w:space="0" w:color="000000"/>
              <w:bottom w:val="single" w:sz="4" w:space="0" w:color="000000"/>
            </w:tcBorders>
            <w:vAlign w:val="center"/>
          </w:tcPr>
          <w:p>
            <w:pPr>
              <w:pStyle w:val="Compact"/>
              <w:widowControl w:val="false"/>
              <w:rPr/>
            </w:pPr>
            <w:r>
              <w:rPr/>
            </w:r>
          </w:p>
        </w:tc>
        <w:tc>
          <w:tcPr>
            <w:tcW w:w="1182" w:type="dxa"/>
            <w:tcBorders>
              <w:left w:val="single" w:sz="4" w:space="0" w:color="000000"/>
              <w:bottom w:val="single" w:sz="4" w:space="0" w:color="000000"/>
            </w:tcBorders>
            <w:vAlign w:val="center"/>
          </w:tcPr>
          <w:p>
            <w:pPr>
              <w:pStyle w:val="Compact"/>
              <w:widowControl w:val="false"/>
              <w:rPr/>
            </w:pPr>
            <w:r>
              <w:rPr/>
            </w:r>
          </w:p>
        </w:tc>
        <w:tc>
          <w:tcPr>
            <w:tcW w:w="1182" w:type="dxa"/>
            <w:tcBorders>
              <w:left w:val="single" w:sz="4" w:space="0" w:color="000000"/>
              <w:bottom w:val="single" w:sz="4" w:space="0" w:color="000000"/>
            </w:tcBorders>
            <w:vAlign w:val="center"/>
          </w:tcPr>
          <w:p>
            <w:pPr>
              <w:pStyle w:val="Compact"/>
              <w:widowControl w:val="false"/>
              <w:rPr/>
            </w:pPr>
            <w:r>
              <w:rPr/>
            </w:r>
          </w:p>
        </w:tc>
        <w:tc>
          <w:tcPr>
            <w:tcW w:w="1182" w:type="dxa"/>
            <w:tcBorders>
              <w:left w:val="single" w:sz="4" w:space="0" w:color="000000"/>
              <w:bottom w:val="single" w:sz="4" w:space="0" w:color="000000"/>
            </w:tcBorders>
            <w:vAlign w:val="center"/>
          </w:tcPr>
          <w:p>
            <w:pPr>
              <w:pStyle w:val="Compact"/>
              <w:widowControl w:val="false"/>
              <w:rPr/>
            </w:pPr>
            <w:r>
              <w:rPr/>
            </w:r>
          </w:p>
        </w:tc>
        <w:tc>
          <w:tcPr>
            <w:tcW w:w="1182" w:type="dxa"/>
            <w:tcBorders>
              <w:left w:val="single" w:sz="4" w:space="0" w:color="000000"/>
              <w:bottom w:val="single" w:sz="4" w:space="0" w:color="000000"/>
            </w:tcBorders>
            <w:vAlign w:val="center"/>
          </w:tcPr>
          <w:p>
            <w:pPr>
              <w:pStyle w:val="Compact"/>
              <w:widowControl w:val="false"/>
              <w:rPr/>
            </w:pPr>
            <w:r>
              <w:rPr/>
            </w:r>
          </w:p>
        </w:tc>
        <w:tc>
          <w:tcPr>
            <w:tcW w:w="1183" w:type="dxa"/>
            <w:tcBorders>
              <w:left w:val="single" w:sz="4" w:space="0" w:color="000000"/>
              <w:bottom w:val="single" w:sz="4" w:space="0" w:color="000000"/>
            </w:tcBorders>
            <w:vAlign w:val="center"/>
          </w:tcPr>
          <w:p>
            <w:pPr>
              <w:pStyle w:val="Compact"/>
              <w:widowControl w:val="false"/>
              <w:rPr/>
            </w:pPr>
            <w:r>
              <w:rPr/>
            </w:r>
          </w:p>
        </w:tc>
        <w:tc>
          <w:tcPr>
            <w:tcW w:w="901" w:type="dxa"/>
            <w:tcBorders>
              <w:left w:val="single" w:sz="4" w:space="0" w:color="000000"/>
              <w:bottom w:val="single" w:sz="4" w:space="0" w:color="000000"/>
              <w:right w:val="single" w:sz="4" w:space="0" w:color="000000"/>
            </w:tcBorders>
            <w:vAlign w:val="center"/>
          </w:tcPr>
          <w:p>
            <w:pPr>
              <w:pStyle w:val="Compact"/>
              <w:widowControl w:val="false"/>
              <w:rPr/>
            </w:pPr>
            <w:r>
              <w:rPr/>
              <w:t>&lt;0.001</w:t>
            </w:r>
          </w:p>
        </w:tc>
      </w:tr>
      <w:tr>
        <w:trPr/>
        <w:tc>
          <w:tcPr>
            <w:tcW w:w="1819" w:type="dxa"/>
            <w:tcBorders>
              <w:left w:val="single" w:sz="4" w:space="0" w:color="000000"/>
              <w:bottom w:val="single" w:sz="4" w:space="0" w:color="000000"/>
            </w:tcBorders>
            <w:vAlign w:val="center"/>
          </w:tcPr>
          <w:p>
            <w:pPr>
              <w:pStyle w:val="Compact"/>
              <w:widowControl w:val="false"/>
              <w:rPr/>
            </w:pPr>
            <w:r>
              <w:rPr/>
              <w:t>1</w:t>
            </w:r>
          </w:p>
        </w:tc>
        <w:tc>
          <w:tcPr>
            <w:tcW w:w="1025" w:type="dxa"/>
            <w:tcBorders>
              <w:left w:val="single" w:sz="4" w:space="0" w:color="000000"/>
              <w:bottom w:val="single" w:sz="4" w:space="0" w:color="000000"/>
            </w:tcBorders>
            <w:vAlign w:val="center"/>
          </w:tcPr>
          <w:p>
            <w:pPr>
              <w:pStyle w:val="Compact"/>
              <w:widowControl w:val="false"/>
              <w:rPr/>
            </w:pPr>
            <w:r>
              <w:rPr/>
              <w:t>305 (2.0)</w:t>
            </w:r>
          </w:p>
        </w:tc>
        <w:tc>
          <w:tcPr>
            <w:tcW w:w="1182" w:type="dxa"/>
            <w:tcBorders>
              <w:left w:val="single" w:sz="4" w:space="0" w:color="000000"/>
              <w:bottom w:val="single" w:sz="4" w:space="0" w:color="000000"/>
            </w:tcBorders>
            <w:vAlign w:val="center"/>
          </w:tcPr>
          <w:p>
            <w:pPr>
              <w:pStyle w:val="Compact"/>
              <w:widowControl w:val="false"/>
              <w:rPr/>
            </w:pPr>
            <w:r>
              <w:rPr/>
              <w:t>13 (21)</w:t>
            </w:r>
          </w:p>
        </w:tc>
        <w:tc>
          <w:tcPr>
            <w:tcW w:w="1182" w:type="dxa"/>
            <w:tcBorders>
              <w:left w:val="single" w:sz="4" w:space="0" w:color="000000"/>
              <w:bottom w:val="single" w:sz="4" w:space="0" w:color="000000"/>
            </w:tcBorders>
            <w:vAlign w:val="center"/>
          </w:tcPr>
          <w:p>
            <w:pPr>
              <w:pStyle w:val="Compact"/>
              <w:widowControl w:val="false"/>
              <w:rPr/>
            </w:pPr>
            <w:r>
              <w:rPr/>
              <w:t>17 (8.4)</w:t>
            </w:r>
          </w:p>
        </w:tc>
        <w:tc>
          <w:tcPr>
            <w:tcW w:w="1182" w:type="dxa"/>
            <w:tcBorders>
              <w:left w:val="single" w:sz="4" w:space="0" w:color="000000"/>
              <w:bottom w:val="single" w:sz="4" w:space="0" w:color="000000"/>
            </w:tcBorders>
            <w:vAlign w:val="center"/>
          </w:tcPr>
          <w:p>
            <w:pPr>
              <w:pStyle w:val="Compact"/>
              <w:widowControl w:val="false"/>
              <w:rPr/>
            </w:pPr>
            <w:r>
              <w:rPr/>
              <w:t>33 (6.0)</w:t>
            </w:r>
          </w:p>
        </w:tc>
        <w:tc>
          <w:tcPr>
            <w:tcW w:w="1182" w:type="dxa"/>
            <w:tcBorders>
              <w:left w:val="single" w:sz="4" w:space="0" w:color="000000"/>
              <w:bottom w:val="single" w:sz="4" w:space="0" w:color="000000"/>
            </w:tcBorders>
            <w:vAlign w:val="center"/>
          </w:tcPr>
          <w:p>
            <w:pPr>
              <w:pStyle w:val="Compact"/>
              <w:widowControl w:val="false"/>
              <w:rPr/>
            </w:pPr>
            <w:r>
              <w:rPr/>
              <w:t>133 (3.2)</w:t>
            </w:r>
          </w:p>
        </w:tc>
        <w:tc>
          <w:tcPr>
            <w:tcW w:w="1183" w:type="dxa"/>
            <w:tcBorders>
              <w:left w:val="single" w:sz="4" w:space="0" w:color="000000"/>
              <w:bottom w:val="single" w:sz="4" w:space="0" w:color="000000"/>
            </w:tcBorders>
            <w:vAlign w:val="center"/>
          </w:tcPr>
          <w:p>
            <w:pPr>
              <w:pStyle w:val="Compact"/>
              <w:widowControl w:val="false"/>
              <w:rPr/>
            </w:pPr>
            <w:r>
              <w:rPr/>
              <w:t>108 (1.1)</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1819" w:type="dxa"/>
            <w:tcBorders>
              <w:left w:val="single" w:sz="4" w:space="0" w:color="000000"/>
              <w:bottom w:val="single" w:sz="4" w:space="0" w:color="000000"/>
            </w:tcBorders>
            <w:vAlign w:val="center"/>
          </w:tcPr>
          <w:p>
            <w:pPr>
              <w:pStyle w:val="Compact"/>
              <w:widowControl w:val="false"/>
              <w:rPr/>
            </w:pPr>
            <w:r>
              <w:rPr/>
              <w:t>2</w:t>
            </w:r>
          </w:p>
        </w:tc>
        <w:tc>
          <w:tcPr>
            <w:tcW w:w="1025" w:type="dxa"/>
            <w:tcBorders>
              <w:left w:val="single" w:sz="4" w:space="0" w:color="000000"/>
              <w:bottom w:val="single" w:sz="4" w:space="0" w:color="000000"/>
            </w:tcBorders>
            <w:vAlign w:val="center"/>
          </w:tcPr>
          <w:p>
            <w:pPr>
              <w:pStyle w:val="Compact"/>
              <w:widowControl w:val="false"/>
              <w:rPr/>
            </w:pPr>
            <w:r>
              <w:rPr/>
              <w:t>790 (5.2)</w:t>
            </w:r>
          </w:p>
        </w:tc>
        <w:tc>
          <w:tcPr>
            <w:tcW w:w="1182" w:type="dxa"/>
            <w:tcBorders>
              <w:left w:val="single" w:sz="4" w:space="0" w:color="000000"/>
              <w:bottom w:val="single" w:sz="4" w:space="0" w:color="000000"/>
            </w:tcBorders>
            <w:vAlign w:val="center"/>
          </w:tcPr>
          <w:p>
            <w:pPr>
              <w:pStyle w:val="Compact"/>
              <w:widowControl w:val="false"/>
              <w:rPr/>
            </w:pPr>
            <w:r>
              <w:rPr/>
              <w:t>11 (18)</w:t>
            </w:r>
          </w:p>
        </w:tc>
        <w:tc>
          <w:tcPr>
            <w:tcW w:w="1182" w:type="dxa"/>
            <w:tcBorders>
              <w:left w:val="single" w:sz="4" w:space="0" w:color="000000"/>
              <w:bottom w:val="single" w:sz="4" w:space="0" w:color="000000"/>
            </w:tcBorders>
            <w:vAlign w:val="center"/>
          </w:tcPr>
          <w:p>
            <w:pPr>
              <w:pStyle w:val="Compact"/>
              <w:widowControl w:val="false"/>
              <w:rPr/>
            </w:pPr>
            <w:r>
              <w:rPr/>
              <w:t>28 (14)</w:t>
            </w:r>
          </w:p>
        </w:tc>
        <w:tc>
          <w:tcPr>
            <w:tcW w:w="1182" w:type="dxa"/>
            <w:tcBorders>
              <w:left w:val="single" w:sz="4" w:space="0" w:color="000000"/>
              <w:bottom w:val="single" w:sz="4" w:space="0" w:color="000000"/>
            </w:tcBorders>
            <w:vAlign w:val="center"/>
          </w:tcPr>
          <w:p>
            <w:pPr>
              <w:pStyle w:val="Compact"/>
              <w:widowControl w:val="false"/>
              <w:rPr/>
            </w:pPr>
            <w:r>
              <w:rPr/>
              <w:t>63 (11)</w:t>
            </w:r>
          </w:p>
        </w:tc>
        <w:tc>
          <w:tcPr>
            <w:tcW w:w="1182" w:type="dxa"/>
            <w:tcBorders>
              <w:left w:val="single" w:sz="4" w:space="0" w:color="000000"/>
              <w:bottom w:val="single" w:sz="4" w:space="0" w:color="000000"/>
            </w:tcBorders>
            <w:vAlign w:val="center"/>
          </w:tcPr>
          <w:p>
            <w:pPr>
              <w:pStyle w:val="Compact"/>
              <w:widowControl w:val="false"/>
              <w:rPr/>
            </w:pPr>
            <w:r>
              <w:rPr/>
              <w:t>353 (8.4)</w:t>
            </w:r>
          </w:p>
        </w:tc>
        <w:tc>
          <w:tcPr>
            <w:tcW w:w="1183" w:type="dxa"/>
            <w:tcBorders>
              <w:left w:val="single" w:sz="4" w:space="0" w:color="000000"/>
              <w:bottom w:val="single" w:sz="4" w:space="0" w:color="000000"/>
            </w:tcBorders>
            <w:vAlign w:val="center"/>
          </w:tcPr>
          <w:p>
            <w:pPr>
              <w:pStyle w:val="Compact"/>
              <w:widowControl w:val="false"/>
              <w:rPr/>
            </w:pPr>
            <w:r>
              <w:rPr/>
              <w:t>335 (3.3)</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1819" w:type="dxa"/>
            <w:tcBorders>
              <w:left w:val="single" w:sz="4" w:space="0" w:color="000000"/>
              <w:bottom w:val="single" w:sz="4" w:space="0" w:color="000000"/>
            </w:tcBorders>
            <w:vAlign w:val="center"/>
          </w:tcPr>
          <w:p>
            <w:pPr>
              <w:pStyle w:val="Compact"/>
              <w:widowControl w:val="false"/>
              <w:rPr/>
            </w:pPr>
            <w:r>
              <w:rPr/>
              <w:t>3</w:t>
            </w:r>
          </w:p>
        </w:tc>
        <w:tc>
          <w:tcPr>
            <w:tcW w:w="1025" w:type="dxa"/>
            <w:tcBorders>
              <w:left w:val="single" w:sz="4" w:space="0" w:color="000000"/>
              <w:bottom w:val="single" w:sz="4" w:space="0" w:color="000000"/>
            </w:tcBorders>
            <w:vAlign w:val="center"/>
          </w:tcPr>
          <w:p>
            <w:pPr>
              <w:pStyle w:val="Compact"/>
              <w:widowControl w:val="false"/>
              <w:rPr/>
            </w:pPr>
            <w:r>
              <w:rPr/>
              <w:t>1,826 (12)</w:t>
            </w:r>
          </w:p>
        </w:tc>
        <w:tc>
          <w:tcPr>
            <w:tcW w:w="1182" w:type="dxa"/>
            <w:tcBorders>
              <w:left w:val="single" w:sz="4" w:space="0" w:color="000000"/>
              <w:bottom w:val="single" w:sz="4" w:space="0" w:color="000000"/>
            </w:tcBorders>
            <w:vAlign w:val="center"/>
          </w:tcPr>
          <w:p>
            <w:pPr>
              <w:pStyle w:val="Compact"/>
              <w:widowControl w:val="false"/>
              <w:rPr/>
            </w:pPr>
            <w:r>
              <w:rPr/>
              <w:t>12 (19)</w:t>
            </w:r>
          </w:p>
        </w:tc>
        <w:tc>
          <w:tcPr>
            <w:tcW w:w="1182" w:type="dxa"/>
            <w:tcBorders>
              <w:left w:val="single" w:sz="4" w:space="0" w:color="000000"/>
              <w:bottom w:val="single" w:sz="4" w:space="0" w:color="000000"/>
            </w:tcBorders>
            <w:vAlign w:val="center"/>
          </w:tcPr>
          <w:p>
            <w:pPr>
              <w:pStyle w:val="Compact"/>
              <w:widowControl w:val="false"/>
              <w:rPr/>
            </w:pPr>
            <w:r>
              <w:rPr/>
              <w:t>30 (15)</w:t>
            </w:r>
          </w:p>
        </w:tc>
        <w:tc>
          <w:tcPr>
            <w:tcW w:w="1182" w:type="dxa"/>
            <w:tcBorders>
              <w:left w:val="single" w:sz="4" w:space="0" w:color="000000"/>
              <w:bottom w:val="single" w:sz="4" w:space="0" w:color="000000"/>
            </w:tcBorders>
            <w:vAlign w:val="center"/>
          </w:tcPr>
          <w:p>
            <w:pPr>
              <w:pStyle w:val="Compact"/>
              <w:widowControl w:val="false"/>
              <w:rPr/>
            </w:pPr>
            <w:r>
              <w:rPr/>
              <w:t>142 (25)</w:t>
            </w:r>
          </w:p>
        </w:tc>
        <w:tc>
          <w:tcPr>
            <w:tcW w:w="1182" w:type="dxa"/>
            <w:tcBorders>
              <w:left w:val="single" w:sz="4" w:space="0" w:color="000000"/>
              <w:bottom w:val="single" w:sz="4" w:space="0" w:color="000000"/>
            </w:tcBorders>
            <w:vAlign w:val="center"/>
          </w:tcPr>
          <w:p>
            <w:pPr>
              <w:pStyle w:val="Compact"/>
              <w:widowControl w:val="false"/>
              <w:rPr/>
            </w:pPr>
            <w:r>
              <w:rPr/>
              <w:t>712 (17)</w:t>
            </w:r>
          </w:p>
        </w:tc>
        <w:tc>
          <w:tcPr>
            <w:tcW w:w="1183" w:type="dxa"/>
            <w:tcBorders>
              <w:left w:val="single" w:sz="4" w:space="0" w:color="000000"/>
              <w:bottom w:val="single" w:sz="4" w:space="0" w:color="000000"/>
            </w:tcBorders>
            <w:vAlign w:val="center"/>
          </w:tcPr>
          <w:p>
            <w:pPr>
              <w:pStyle w:val="Compact"/>
              <w:widowControl w:val="false"/>
              <w:rPr/>
            </w:pPr>
            <w:r>
              <w:rPr/>
              <w:t>929 (9.3)</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1819" w:type="dxa"/>
            <w:tcBorders>
              <w:left w:val="single" w:sz="4" w:space="0" w:color="000000"/>
              <w:bottom w:val="single" w:sz="4" w:space="0" w:color="000000"/>
            </w:tcBorders>
            <w:vAlign w:val="center"/>
          </w:tcPr>
          <w:p>
            <w:pPr>
              <w:pStyle w:val="Compact"/>
              <w:widowControl w:val="false"/>
              <w:rPr/>
            </w:pPr>
            <w:r>
              <w:rPr/>
              <w:t>4</w:t>
            </w:r>
          </w:p>
        </w:tc>
        <w:tc>
          <w:tcPr>
            <w:tcW w:w="1025" w:type="dxa"/>
            <w:tcBorders>
              <w:left w:val="single" w:sz="4" w:space="0" w:color="000000"/>
              <w:bottom w:val="single" w:sz="4" w:space="0" w:color="000000"/>
            </w:tcBorders>
            <w:vAlign w:val="center"/>
          </w:tcPr>
          <w:p>
            <w:pPr>
              <w:pStyle w:val="Compact"/>
              <w:widowControl w:val="false"/>
              <w:rPr/>
            </w:pPr>
            <w:r>
              <w:rPr/>
              <w:t>6,716 (45)</w:t>
            </w:r>
          </w:p>
        </w:tc>
        <w:tc>
          <w:tcPr>
            <w:tcW w:w="1182" w:type="dxa"/>
            <w:tcBorders>
              <w:left w:val="single" w:sz="4" w:space="0" w:color="000000"/>
              <w:bottom w:val="single" w:sz="4" w:space="0" w:color="000000"/>
            </w:tcBorders>
            <w:vAlign w:val="center"/>
          </w:tcPr>
          <w:p>
            <w:pPr>
              <w:pStyle w:val="Compact"/>
              <w:widowControl w:val="false"/>
              <w:rPr/>
            </w:pPr>
            <w:r>
              <w:rPr/>
              <w:t>23 (36)</w:t>
            </w:r>
          </w:p>
        </w:tc>
        <w:tc>
          <w:tcPr>
            <w:tcW w:w="1182" w:type="dxa"/>
            <w:tcBorders>
              <w:left w:val="single" w:sz="4" w:space="0" w:color="000000"/>
              <w:bottom w:val="single" w:sz="4" w:space="0" w:color="000000"/>
            </w:tcBorders>
            <w:vAlign w:val="center"/>
          </w:tcPr>
          <w:p>
            <w:pPr>
              <w:pStyle w:val="Compact"/>
              <w:widowControl w:val="false"/>
              <w:rPr/>
            </w:pPr>
            <w:r>
              <w:rPr/>
              <w:t>92 (46)</w:t>
            </w:r>
          </w:p>
        </w:tc>
        <w:tc>
          <w:tcPr>
            <w:tcW w:w="1182" w:type="dxa"/>
            <w:tcBorders>
              <w:left w:val="single" w:sz="4" w:space="0" w:color="000000"/>
              <w:bottom w:val="single" w:sz="4" w:space="0" w:color="000000"/>
            </w:tcBorders>
            <w:vAlign w:val="center"/>
          </w:tcPr>
          <w:p>
            <w:pPr>
              <w:pStyle w:val="Compact"/>
              <w:widowControl w:val="false"/>
              <w:rPr/>
            </w:pPr>
            <w:r>
              <w:rPr/>
              <w:t>226 (40)</w:t>
            </w:r>
          </w:p>
        </w:tc>
        <w:tc>
          <w:tcPr>
            <w:tcW w:w="1182" w:type="dxa"/>
            <w:tcBorders>
              <w:left w:val="single" w:sz="4" w:space="0" w:color="000000"/>
              <w:bottom w:val="single" w:sz="4" w:space="0" w:color="000000"/>
            </w:tcBorders>
            <w:vAlign w:val="center"/>
          </w:tcPr>
          <w:p>
            <w:pPr>
              <w:pStyle w:val="Compact"/>
              <w:widowControl w:val="false"/>
              <w:rPr/>
            </w:pPr>
            <w:r>
              <w:rPr/>
              <w:t>2,242 (53)</w:t>
            </w:r>
          </w:p>
        </w:tc>
        <w:tc>
          <w:tcPr>
            <w:tcW w:w="1183" w:type="dxa"/>
            <w:tcBorders>
              <w:left w:val="single" w:sz="4" w:space="0" w:color="000000"/>
              <w:bottom w:val="single" w:sz="4" w:space="0" w:color="000000"/>
            </w:tcBorders>
            <w:vAlign w:val="center"/>
          </w:tcPr>
          <w:p>
            <w:pPr>
              <w:pStyle w:val="Compact"/>
              <w:widowControl w:val="false"/>
              <w:rPr/>
            </w:pPr>
            <w:r>
              <w:rPr/>
              <w:t>4,134 (41)</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1819" w:type="dxa"/>
            <w:tcBorders>
              <w:left w:val="single" w:sz="4" w:space="0" w:color="000000"/>
              <w:bottom w:val="single" w:sz="4" w:space="0" w:color="000000"/>
            </w:tcBorders>
            <w:vAlign w:val="center"/>
          </w:tcPr>
          <w:p>
            <w:pPr>
              <w:pStyle w:val="Compact"/>
              <w:widowControl w:val="false"/>
              <w:rPr/>
            </w:pPr>
            <w:r>
              <w:rPr/>
              <w:t>5</w:t>
            </w:r>
          </w:p>
        </w:tc>
        <w:tc>
          <w:tcPr>
            <w:tcW w:w="1025" w:type="dxa"/>
            <w:tcBorders>
              <w:left w:val="single" w:sz="4" w:space="0" w:color="000000"/>
              <w:bottom w:val="single" w:sz="4" w:space="0" w:color="000000"/>
            </w:tcBorders>
            <w:vAlign w:val="center"/>
          </w:tcPr>
          <w:p>
            <w:pPr>
              <w:pStyle w:val="Compact"/>
              <w:widowControl w:val="false"/>
              <w:rPr/>
            </w:pPr>
            <w:r>
              <w:rPr/>
              <w:t>5,417 (36)</w:t>
            </w:r>
          </w:p>
        </w:tc>
        <w:tc>
          <w:tcPr>
            <w:tcW w:w="1182" w:type="dxa"/>
            <w:tcBorders>
              <w:left w:val="single" w:sz="4" w:space="0" w:color="000000"/>
              <w:bottom w:val="single" w:sz="4" w:space="0" w:color="000000"/>
            </w:tcBorders>
            <w:vAlign w:val="center"/>
          </w:tcPr>
          <w:p>
            <w:pPr>
              <w:pStyle w:val="Compact"/>
              <w:widowControl w:val="false"/>
              <w:rPr/>
            </w:pPr>
            <w:r>
              <w:rPr/>
              <w:t>3 (5.5)</w:t>
            </w:r>
          </w:p>
        </w:tc>
        <w:tc>
          <w:tcPr>
            <w:tcW w:w="1182" w:type="dxa"/>
            <w:tcBorders>
              <w:left w:val="single" w:sz="4" w:space="0" w:color="000000"/>
              <w:bottom w:val="single" w:sz="4" w:space="0" w:color="000000"/>
            </w:tcBorders>
            <w:vAlign w:val="center"/>
          </w:tcPr>
          <w:p>
            <w:pPr>
              <w:pStyle w:val="Compact"/>
              <w:widowControl w:val="false"/>
              <w:rPr/>
            </w:pPr>
            <w:r>
              <w:rPr/>
              <w:t>31 (16)</w:t>
            </w:r>
          </w:p>
        </w:tc>
        <w:tc>
          <w:tcPr>
            <w:tcW w:w="1182" w:type="dxa"/>
            <w:tcBorders>
              <w:left w:val="single" w:sz="4" w:space="0" w:color="000000"/>
              <w:bottom w:val="single" w:sz="4" w:space="0" w:color="000000"/>
            </w:tcBorders>
            <w:vAlign w:val="center"/>
          </w:tcPr>
          <w:p>
            <w:pPr>
              <w:pStyle w:val="Compact"/>
              <w:widowControl w:val="false"/>
              <w:rPr/>
            </w:pPr>
            <w:r>
              <w:rPr/>
              <w:t>95 (17)</w:t>
            </w:r>
          </w:p>
        </w:tc>
        <w:tc>
          <w:tcPr>
            <w:tcW w:w="1182" w:type="dxa"/>
            <w:tcBorders>
              <w:left w:val="single" w:sz="4" w:space="0" w:color="000000"/>
              <w:bottom w:val="single" w:sz="4" w:space="0" w:color="000000"/>
            </w:tcBorders>
            <w:vAlign w:val="center"/>
          </w:tcPr>
          <w:p>
            <w:pPr>
              <w:pStyle w:val="Compact"/>
              <w:widowControl w:val="false"/>
              <w:rPr/>
            </w:pPr>
            <w:r>
              <w:rPr/>
              <w:t>770 (18)</w:t>
            </w:r>
          </w:p>
        </w:tc>
        <w:tc>
          <w:tcPr>
            <w:tcW w:w="1183" w:type="dxa"/>
            <w:tcBorders>
              <w:left w:val="single" w:sz="4" w:space="0" w:color="000000"/>
              <w:bottom w:val="single" w:sz="4" w:space="0" w:color="000000"/>
            </w:tcBorders>
            <w:vAlign w:val="center"/>
          </w:tcPr>
          <w:p>
            <w:pPr>
              <w:pStyle w:val="Compact"/>
              <w:widowControl w:val="false"/>
              <w:rPr/>
            </w:pPr>
            <w:r>
              <w:rPr/>
              <w:t>4,517 (45)</w:t>
            </w:r>
          </w:p>
        </w:tc>
        <w:tc>
          <w:tcPr>
            <w:tcW w:w="901"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9656" w:type="dxa"/>
            <w:gridSpan w:val="8"/>
            <w:tcBorders>
              <w:left w:val="single" w:sz="4" w:space="0" w:color="000000"/>
              <w:bottom w:val="single" w:sz="4" w:space="0" w:color="000000"/>
              <w:right w:val="single" w:sz="4" w:space="0" w:color="000000"/>
            </w:tcBorders>
            <w:vAlign w:val="center"/>
          </w:tcPr>
          <w:p>
            <w:pPr>
              <w:pStyle w:val="Compact"/>
              <w:widowControl w:val="false"/>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Heading3"/>
        <w:rPr/>
      </w:pPr>
      <w:bookmarkStart w:id="23" w:name="__RefHeading___Toc5067_785382680"/>
      <w:bookmarkEnd w:id="23"/>
      <w:r>
        <w:rPr/>
        <w:t>Stratification by sex</w:t>
      </w:r>
    </w:p>
    <w:p>
      <w:pPr>
        <w:pStyle w:val="TextBody"/>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effect of the association was significant (OR: 3.39, 95% CI: [2.93, 3.91]). This means that when survey respondents perceive leadership commitment, they are 3 times as likely to report telework satisfaction as participants that do not perceive such commitment from leadership. Alternatively this translates to a 2-fold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653" w:type="dxa"/>
        <w:jc w:val="left"/>
        <w:tblInd w:w="40" w:type="dxa"/>
        <w:tblLayout w:type="fixed"/>
        <w:tblCellMar>
          <w:top w:w="55" w:type="dxa"/>
          <w:left w:w="55" w:type="dxa"/>
          <w:bottom w:w="55" w:type="dxa"/>
          <w:right w:w="55" w:type="dxa"/>
        </w:tblCellMar>
      </w:tblPr>
      <w:tblGrid>
        <w:gridCol w:w="1580"/>
        <w:gridCol w:w="895"/>
        <w:gridCol w:w="898"/>
        <w:gridCol w:w="898"/>
        <w:gridCol w:w="897"/>
        <w:gridCol w:w="896"/>
        <w:gridCol w:w="897"/>
        <w:gridCol w:w="898"/>
        <w:gridCol w:w="898"/>
        <w:gridCol w:w="895"/>
      </w:tblGrid>
      <w:tr>
        <w:trPr/>
        <w:tc>
          <w:tcPr>
            <w:tcW w:w="1580" w:type="dxa"/>
            <w:tcBorders>
              <w:top w:val="single" w:sz="4" w:space="0" w:color="000000"/>
              <w:left w:val="single" w:sz="4" w:space="0" w:color="000000"/>
              <w:bottom w:val="single" w:sz="4" w:space="0" w:color="000000"/>
            </w:tcBorders>
            <w:shd w:color="auto" w:fill="B2B2B2"/>
            <w:vAlign w:val="center"/>
          </w:tcPr>
          <w:p>
            <w:pPr>
              <w:pStyle w:val="Compact"/>
              <w:widowControl w:val="false"/>
              <w:rPr>
                <w:b/>
                <w:b/>
                <w:bCs/>
                <w:sz w:val="20"/>
                <w:szCs w:val="20"/>
              </w:rPr>
            </w:pPr>
            <w:r>
              <w:rPr>
                <w:b/>
                <w:bCs/>
                <w:sz w:val="20"/>
                <w:szCs w:val="20"/>
              </w:rPr>
              <w:t>Characteristic</w:t>
            </w:r>
          </w:p>
        </w:tc>
        <w:tc>
          <w:tcPr>
            <w:tcW w:w="8072"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20"/>
                <w:szCs w:val="20"/>
              </w:rPr>
            </w:pPr>
            <w:r>
              <w:rPr>
                <w:b/>
                <w:bCs/>
                <w:sz w:val="20"/>
                <w:szCs w:val="20"/>
              </w:rPr>
              <w:t>How satisfied are you with the Telework program in your agency?</w:t>
            </w:r>
          </w:p>
        </w:tc>
      </w:tr>
      <w:tr>
        <w:trPr/>
        <w:tc>
          <w:tcPr>
            <w:tcW w:w="1580"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2691" w:type="dxa"/>
            <w:gridSpan w:val="3"/>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Overall</w:t>
            </w:r>
          </w:p>
        </w:tc>
        <w:tc>
          <w:tcPr>
            <w:tcW w:w="2690" w:type="dxa"/>
            <w:gridSpan w:val="3"/>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Males</w:t>
            </w:r>
          </w:p>
        </w:tc>
        <w:tc>
          <w:tcPr>
            <w:tcW w:w="2691" w:type="dxa"/>
            <w:gridSpan w:val="3"/>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Females</w:t>
            </w:r>
          </w:p>
        </w:tc>
      </w:tr>
      <w:tr>
        <w:trPr/>
        <w:tc>
          <w:tcPr>
            <w:tcW w:w="1580"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895"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820</w:t>
            </w:r>
            <w:r>
              <w:rPr>
                <w:b w:val="false"/>
                <w:bCs w:val="false"/>
                <w:i/>
                <w:iCs w:val="false"/>
                <w:strike w:val="false"/>
                <w:dstrike w:val="false"/>
                <w:outline w:val="false"/>
                <w:shadow w:val="false"/>
                <w:color w:val="000000"/>
                <w:sz w:val="20"/>
                <w:szCs w:val="20"/>
                <w:u w:val="none"/>
                <w:vertAlign w:val="superscript"/>
              </w:rPr>
              <w:t>1</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14,233</w:t>
            </w:r>
            <w:r>
              <w:rPr>
                <w:b w:val="false"/>
                <w:bCs w:val="false"/>
                <w:i/>
                <w:iCs w:val="false"/>
                <w:strike w:val="false"/>
                <w:dstrike w:val="false"/>
                <w:outline w:val="false"/>
                <w:shadow w:val="false"/>
                <w:color w:val="000000"/>
                <w:sz w:val="20"/>
                <w:szCs w:val="20"/>
                <w:u w:val="none"/>
                <w:vertAlign w:val="superscript"/>
              </w:rPr>
              <w:t>1</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597</w:t>
            </w:r>
            <w:r>
              <w:rPr>
                <w:b w:val="false"/>
                <w:bCs w:val="false"/>
                <w:i/>
                <w:iCs w:val="false"/>
                <w:strike w:val="false"/>
                <w:dstrike w:val="false"/>
                <w:outline w:val="false"/>
                <w:shadow w:val="false"/>
                <w:color w:val="000000"/>
                <w:sz w:val="20"/>
                <w:szCs w:val="20"/>
                <w:u w:val="none"/>
                <w:vertAlign w:val="superscript"/>
              </w:rPr>
              <w:t>1</w:t>
            </w:r>
          </w:p>
        </w:tc>
        <w:tc>
          <w:tcPr>
            <w:tcW w:w="896"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9,402</w:t>
            </w:r>
            <w:r>
              <w:rPr>
                <w:b w:val="false"/>
                <w:bCs w:val="false"/>
                <w:i/>
                <w:iCs w:val="false"/>
                <w:strike w:val="false"/>
                <w:dstrike w:val="false"/>
                <w:outline w:val="false"/>
                <w:shadow w:val="false"/>
                <w:color w:val="000000"/>
                <w:sz w:val="20"/>
                <w:szCs w:val="20"/>
                <w:u w:val="none"/>
                <w:vertAlign w:val="superscript"/>
              </w:rPr>
              <w:t>1</w:t>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223</w:t>
            </w:r>
            <w:r>
              <w:rPr>
                <w:b w:val="false"/>
                <w:bCs w:val="false"/>
                <w:i/>
                <w:iCs w:val="false"/>
                <w:strike w:val="false"/>
                <w:dstrike w:val="false"/>
                <w:outline w:val="false"/>
                <w:shadow w:val="false"/>
                <w:color w:val="000000"/>
                <w:sz w:val="20"/>
                <w:szCs w:val="20"/>
                <w:u w:val="none"/>
                <w:vertAlign w:val="superscript"/>
              </w:rPr>
              <w:t>1</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4,831</w:t>
            </w:r>
            <w:r>
              <w:rPr>
                <w:b w:val="false"/>
                <w:bCs w:val="false"/>
                <w:i/>
                <w:iCs w:val="false"/>
                <w:strike w:val="false"/>
                <w:dstrike w:val="false"/>
                <w:outline w:val="false"/>
                <w:shadow w:val="false"/>
                <w:color w:val="000000"/>
                <w:sz w:val="20"/>
                <w:szCs w:val="20"/>
                <w:u w:val="none"/>
                <w:vertAlign w:val="superscript"/>
              </w:rPr>
              <w:t>1</w:t>
            </w:r>
          </w:p>
        </w:tc>
        <w:tc>
          <w:tcPr>
            <w:tcW w:w="895"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r>
      <w:tr>
        <w:trPr/>
        <w:tc>
          <w:tcPr>
            <w:tcW w:w="1580" w:type="dxa"/>
            <w:tcBorders>
              <w:left w:val="single" w:sz="4" w:space="0" w:color="000000"/>
              <w:bottom w:val="single" w:sz="4" w:space="0" w:color="000000"/>
            </w:tcBorders>
            <w:vAlign w:val="center"/>
          </w:tcPr>
          <w:p>
            <w:pPr>
              <w:pStyle w:val="Compact"/>
              <w:widowControl w:val="false"/>
              <w:rPr>
                <w:b/>
                <w:b/>
                <w:bCs/>
                <w:sz w:val="20"/>
                <w:szCs w:val="20"/>
              </w:rPr>
            </w:pPr>
            <w:r>
              <w:rPr>
                <w:b/>
                <w:bCs/>
                <w:sz w:val="20"/>
                <w:szCs w:val="20"/>
              </w:rPr>
              <w:t>Managers promote communication among different work units.</w:t>
            </w:r>
          </w:p>
        </w:tc>
        <w:tc>
          <w:tcPr>
            <w:tcW w:w="895"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&lt;0.001</w:t>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6"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&lt;0.001</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5"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&lt;0.001</w:t>
            </w:r>
          </w:p>
        </w:tc>
      </w:tr>
      <w:tr>
        <w:trPr/>
        <w:tc>
          <w:tcPr>
            <w:tcW w:w="1580" w:type="dxa"/>
            <w:tcBorders>
              <w:left w:val="single" w:sz="4" w:space="0" w:color="000000"/>
              <w:bottom w:val="single" w:sz="4" w:space="0" w:color="000000"/>
            </w:tcBorders>
            <w:vAlign w:val="center"/>
          </w:tcPr>
          <w:p>
            <w:pPr>
              <w:pStyle w:val="Compact"/>
              <w:widowControl w:val="false"/>
              <w:rPr>
                <w:sz w:val="20"/>
                <w:szCs w:val="20"/>
              </w:rPr>
            </w:pPr>
            <w:r>
              <w:rPr>
                <w:sz w:val="20"/>
                <w:szCs w:val="20"/>
              </w:rPr>
              <w:t>No_Agree</w:t>
            </w:r>
          </w:p>
        </w:tc>
        <w:tc>
          <w:tcPr>
            <w:tcW w:w="895"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351 (43%)</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2,571 (18%)</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257 (43%)</w:t>
            </w:r>
          </w:p>
        </w:tc>
        <w:tc>
          <w:tcPr>
            <w:tcW w:w="896"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1,699 (18%)</w:t>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94 (42%)</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871 (18%)</w:t>
            </w:r>
          </w:p>
        </w:tc>
        <w:tc>
          <w:tcPr>
            <w:tcW w:w="895"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1580" w:type="dxa"/>
            <w:tcBorders>
              <w:left w:val="single" w:sz="4" w:space="0" w:color="000000"/>
              <w:bottom w:val="single" w:sz="4" w:space="0" w:color="000000"/>
            </w:tcBorders>
            <w:vAlign w:val="center"/>
          </w:tcPr>
          <w:p>
            <w:pPr>
              <w:pStyle w:val="Compact"/>
              <w:widowControl w:val="false"/>
              <w:rPr>
                <w:sz w:val="20"/>
                <w:szCs w:val="20"/>
              </w:rPr>
            </w:pPr>
            <w:r>
              <w:rPr>
                <w:sz w:val="20"/>
                <w:szCs w:val="20"/>
              </w:rPr>
              <w:t>Agree</w:t>
            </w:r>
          </w:p>
        </w:tc>
        <w:tc>
          <w:tcPr>
            <w:tcW w:w="895"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470 (57%)</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11,663 (82%)</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340 (57%)</w:t>
            </w:r>
          </w:p>
        </w:tc>
        <w:tc>
          <w:tcPr>
            <w:tcW w:w="896"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7,703 (82%)</w:t>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130 (58%)</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3,960 (82%)</w:t>
            </w:r>
          </w:p>
        </w:tc>
        <w:tc>
          <w:tcPr>
            <w:tcW w:w="895"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9652" w:type="dxa"/>
            <w:gridSpan w:val="10"/>
            <w:tcBorders>
              <w:left w:val="single" w:sz="4" w:space="0" w:color="000000"/>
              <w:bottom w:val="single" w:sz="4" w:space="0" w:color="000000"/>
              <w:right w:val="single" w:sz="4" w:space="0" w:color="000000"/>
            </w:tcBorders>
            <w:vAlign w:val="center"/>
          </w:tcPr>
          <w:p>
            <w:pPr>
              <w:pStyle w:val="Compact"/>
              <w:widowControl w:val="false"/>
              <w:rPr>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TextBody"/>
        <w:rPr/>
      </w:pPr>
      <w:bookmarkStart w:id="24" w:name="results"/>
      <w:bookmarkStart w:id="25" w:name="additional-analyses"/>
      <w:bookmarkEnd w:id="24"/>
      <w:bookmarkEnd w:id="25"/>
      <w:r>
        <w:rPr/>
        <w:t>In order to control for a possible interaction between the association and the sex of the study participant, the analysis was replicated for each sex. In both cases the chi-square test was significant (see section Observations), meaning that a possible interaction is detectable, and this possibility is confirmed by the Cochran-Mantel-Haenszel test (p&lt;0.001).</w:t>
      </w:r>
    </w:p>
    <w:p>
      <w:pPr>
        <w:pStyle w:val="TextBody"/>
        <w:rPr/>
      </w:pPr>
      <w:r>
        <w:rPr/>
        <w:t>The effect sizes for males and females were similar to each other (OR: 3.43, 95% CI: [2.89, 4.06] and females: OR: 3.29, 95% CI: [2.49, 4.33]). After controlling for sex, the association is still present, but its magnitude is not affected by sex.</w:t>
      </w:r>
    </w:p>
    <w:p>
      <w:pPr>
        <w:pStyle w:val="TextBody"/>
        <w:rPr/>
      </w:pPr>
      <w:r>
        <w:rPr/>
        <w:t>This means that, when they perceive leadership commitment, both men and women appear to show similar levels of telework satisfaction when compared to the reference group.</w:t>
      </w:r>
    </w:p>
    <w:p>
      <w:pPr>
        <w:pStyle w:val="Heading4"/>
        <w:rPr/>
      </w:pPr>
      <w:r>
        <w:rPr/>
        <w:t>Additional analyses</w:t>
      </w:r>
    </w:p>
    <w:p>
      <w:pPr>
        <w:pStyle w:val="TextBody"/>
        <w:rPr/>
      </w:pPr>
      <w:r>
        <w:rPr/>
        <w:t>In order to assess the possibility that sex is a confounder, the association between sex and the dichotomized responses for both leadership commitment and employee development were evaluated. The proportion of participants that perceive high levels of leadership commitment does not vary by sex (p=0.021). Additionally, the proportion of participants that perceive employee development do not vary by sex (p&lt;0.001).</w:t>
      </w:r>
    </w:p>
    <w:p>
      <w:pPr>
        <w:pStyle w:val="TextBody"/>
        <w:rPr/>
      </w:pPr>
      <w:r>
        <w:rPr/>
        <w:t>Sex is associated with both leadership commitment and employee satisfaction. This means that sex may be confounding the overall association of this analysis. Even if there is no effect modification (section 4.2.2), in light of this result it is recommended that when reporting these results, both stratified OR also be reported, instead of the overall OR alone.</w:t>
      </w:r>
    </w:p>
    <w:p>
      <w:pPr>
        <w:pStyle w:val="Heading1"/>
        <w:rPr/>
      </w:pPr>
      <w:bookmarkStart w:id="26" w:name="__RefHeading___Toc5069_785382680"/>
      <w:bookmarkEnd w:id="26"/>
      <w:r>
        <w:rPr/>
        <w:t>Observations and Limitations</w:t>
      </w:r>
    </w:p>
    <w:p>
      <w:pPr>
        <w:pStyle w:val="TextBody"/>
        <w:rPr/>
      </w:pPr>
      <w:bookmarkStart w:id="27" w:name="observations-and-limitations"/>
      <w:bookmarkEnd w:id="27"/>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Heading1"/>
        <w:rPr/>
      </w:pPr>
      <w:bookmarkStart w:id="28" w:name="__RefHeading___Toc5071_785382680"/>
      <w:bookmarkEnd w:id="28"/>
      <w:r>
        <w:rPr/>
        <w:t>Conclusions</w:t>
      </w:r>
    </w:p>
    <w:p>
      <w:pPr>
        <w:pStyle w:val="TextBody"/>
        <w:rPr/>
      </w:pPr>
      <w:bookmarkStart w:id="29" w:name="conclusions"/>
      <w:bookmarkEnd w:id="29"/>
      <w:r>
        <w:rPr/>
        <w:t>There is a positive association between leadership commitment and telework satisfaction employee development where employees that perceive high levels of commitment they derive 3 times as much satisfaction at the workplace in a telework environment when compared with employees that do not perceive high leadership commitment.</w:t>
      </w:r>
    </w:p>
    <w:p>
      <w:pPr>
        <w:pStyle w:val="TextBody"/>
        <w:rPr/>
      </w:pPr>
      <w:r>
        <w:rPr/>
        <w:t>These proportions do not appear to vary by sex, and males and females appear to perceive leadership commitment and have satisfaction at different levels.</w:t>
      </w:r>
    </w:p>
    <w:p>
      <w:pPr>
        <w:pStyle w:val="Heading1"/>
        <w:rPr/>
      </w:pPr>
      <w:bookmarkStart w:id="30" w:name="__RefHeading___Toc5073_785382680"/>
      <w:bookmarkEnd w:id="30"/>
      <w:r>
        <w:rPr/>
        <w:t>References</w:t>
      </w:r>
    </w:p>
    <w:p>
      <w:pPr>
        <w:pStyle w:val="Compact"/>
        <w:numPr>
          <w:ilvl w:val="0"/>
          <w:numId w:val="5"/>
        </w:numPr>
        <w:rPr/>
      </w:pPr>
      <w:r>
        <w:rPr>
          <w:b/>
          <w:bCs/>
        </w:rPr>
        <w:t>SAP-2022-007-GJ-v01</w:t>
      </w:r>
      <w:r>
        <w:rPr/>
        <w:t xml:space="preserve"> – Analytical Plan for Association between leadership commitment and telework satisfaction at NASA (2020): sex-adjusted stratified analysis </w:t>
      </w:r>
    </w:p>
    <w:p>
      <w:pPr>
        <w:pStyle w:val="Compact"/>
        <w:numPr>
          <w:ilvl w:val="0"/>
          <w:numId w:val="6"/>
        </w:numPr>
        <w:rPr/>
      </w:pPr>
      <w:bookmarkStart w:id="31" w:name="references"/>
      <w:bookmarkEnd w:id="31"/>
      <w:r>
        <w:rPr/>
        <w:t>OPM (2020). 2020 Federal Employee Viewpoint Survey – Technical report (</w:t>
      </w:r>
      <w:hyperlink r:id="rId2">
        <w:r>
          <w:rPr>
            <w:rStyle w:val="LinkdaInternet"/>
          </w:rPr>
          <w:t>https://www.opm.gov/fevs/reports/technical-reports/</w:t>
        </w:r>
      </w:hyperlink>
      <w:r>
        <w:rPr/>
        <w:t xml:space="preserve">). </w:t>
      </w:r>
    </w:p>
    <w:p>
      <w:pPr>
        <w:pStyle w:val="Heading1"/>
        <w:rPr/>
      </w:pPr>
      <w:bookmarkStart w:id="32" w:name="__RefHeading___Toc5075_785382680"/>
      <w:bookmarkEnd w:id="32"/>
      <w:r>
        <w:rPr/>
        <w:t>Appendix</w:t>
      </w:r>
    </w:p>
    <w:p>
      <w:pPr>
        <w:pStyle w:val="Heading2"/>
        <w:rPr/>
      </w:pPr>
      <w:bookmarkStart w:id="33" w:name="__RefHeading___Toc5077_785382680"/>
      <w:bookmarkEnd w:id="33"/>
      <w:r>
        <w:rPr/>
        <w:t>Exploratory data analysis</w:t>
      </w:r>
      <w:bookmarkStart w:id="34" w:name="exploratory-data-analysis"/>
      <w:bookmarkEnd w:id="34"/>
    </w:p>
    <w:p>
      <w:pPr>
        <w:pStyle w:val="Heading2"/>
        <w:rPr/>
      </w:pPr>
      <w:bookmarkStart w:id="35" w:name="__RefHeading___Toc5079_785382680"/>
      <w:bookmarkEnd w:id="35"/>
      <w:r>
        <w:rPr/>
        <w:t>Availability</w:t>
      </w:r>
    </w:p>
    <w:p>
      <w:pPr>
        <w:pStyle w:val="FirstParagraph"/>
        <w:rPr/>
      </w:pPr>
      <w:r>
        <w:rPr/>
        <w:t>Both this document and the corresponding analytical plan (</w:t>
      </w:r>
      <w:r>
        <w:rPr>
          <w:b/>
          <w:bCs/>
        </w:rPr>
        <w:t>SAP-2022-007-GJ-v02</w:t>
      </w:r>
      <w:r>
        <w:rPr/>
        <w:t>) can be downloaded in the following address:</w:t>
      </w:r>
    </w:p>
    <w:p>
      <w:pPr>
        <w:pStyle w:val="TextBody"/>
        <w:rPr/>
      </w:pPr>
      <w:hyperlink r:id="rId3">
        <w:r>
          <w:rPr>
            <w:rStyle w:val="LinkdaInternet"/>
          </w:rPr>
          <w:t>https://philsf-biostat.github.io/SAR-2022-007-GJ/</w:t>
        </w:r>
      </w:hyperlink>
      <w:bookmarkStart w:id="36" w:name="availability"/>
      <w:bookmarkEnd w:id="36"/>
    </w:p>
    <w:p>
      <w:pPr>
        <w:pStyle w:val="Heading2"/>
        <w:rPr/>
      </w:pPr>
      <w:bookmarkStart w:id="37" w:name="__RefHeading___Toc5081_785382680"/>
      <w:bookmarkEnd w:id="3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9493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
            <w:bookmarkStart w:id="38" w:name="analytical-dataset"/>
            <w:bookmarkStart w:id="39" w:name="analytical-dataset"/>
            <w:bookmarkEnd w:id="39"/>
          </w:p>
        </w:tc>
      </w:tr>
    </w:tbl>
    <w:sectPr>
      <w:headerReference w:type="default" r:id="rId4"/>
      <w:footerReference w:type="default" r:id="rId5"/>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640" cy="35560"/>
              <wp:effectExtent l="0" t="0" r="0" b="0"/>
              <wp:docPr id="4" name="Shape4"/>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9</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9</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640" cy="35560"/>
              <wp:effectExtent l="0" t="0" r="0" b="0"/>
              <wp:docPr id="3" name="Shape3"/>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7-GJ/"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LibreOffice/7.3.0.3$Linux_X86_64 LibreOffice_project/30$Build-3</Application>
  <AppVersion>15.0000</AppVersion>
  <Pages>9</Pages>
  <Words>2023</Words>
  <Characters>11130</Characters>
  <CharactersWithSpaces>12995</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2022-02-02T22:56:22Z</dcterms:created>
  <dc:creator>From: Felipe Figueiredo To: techsavvy32 (fiverr.com)</dc:creator>
  <dc:description/>
  <dc:language>pt-BR</dc:language>
  <cp:lastModifiedBy>Felipe Figueiredo</cp:lastModifiedBy>
  <dcterms:modified xsi:type="dcterms:W3CDTF">2022-02-03T18:04:01Z</dcterms:modified>
  <cp:revision>17</cp:revision>
  <dc:subject/>
  <dc:title>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SAR-2022-007-GJ-v01</vt:lpwstr>
  </property>
</Properties>
</file>