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le"/>
        <w:keepNext w:val="true"/>
        <w:keepLines/>
        <w:spacing w:before="480" w:after="240"/>
        <w:jc w:val="center"/>
        <w:rPr/>
      </w:pPr>
      <w:r>
        <w:rPr/>
        <w:t>Association between leadership commitment and telework satisfaction at NASA (2020): unweighted sex-adjusted stratified analysis</w:t>
      </w:r>
    </w:p>
    <w:p>
      <w:pPr>
        <w:pStyle w:val="Subtitle"/>
        <w:rPr/>
      </w:pPr>
      <w:r>
        <w:rPr/>
        <w:t>DOCUMENT: SAR-2022-010-GJ-v01</w:t>
      </w:r>
    </w:p>
    <w:p>
      <w:pPr>
        <w:pStyle w:val="Author"/>
        <w:rPr/>
      </w:pPr>
      <w:r>
        <w:rPr>
          <w:b/>
          <w:bCs/>
        </w:rPr>
        <w:t>From:</w:t>
      </w:r>
      <w:r>
        <w:rPr/>
        <w:t xml:space="preserve"> Felipe Figueiredo </w:t>
      </w:r>
      <w:r>
        <w:rPr>
          <w:b/>
          <w:bCs/>
        </w:rPr>
        <w:t>To:</w:t>
      </w:r>
      <w:r>
        <w:rPr/>
        <w:t xml:space="preserve"> techsavvy32 (fiverr.com)</w:t>
      </w:r>
    </w:p>
    <w:p>
      <w:pPr>
        <w:pStyle w:val="Date"/>
        <w:rPr/>
      </w:pPr>
      <w:r>
        <w:rPr/>
        <w:t>2022-02-19</w:t>
      </w:r>
    </w:p>
    <w:sdt>
      <w:sdtPr>
        <w:docPartObj>
          <w:docPartGallery w:val="Table of Contents"/>
          <w:docPartUnique w:val="true"/>
        </w:docPartObj>
      </w:sdtPr>
      <w:sdtContent>
        <w:p>
          <w:pPr>
            <w:pStyle w:val="ContentsHeading"/>
            <w:numPr>
              <w:ilvl w:val="0"/>
              <w:numId w:val="0"/>
            </w:numPr>
            <w:spacing w:lineRule="auto" w:line="259" w:before="240" w:after="0"/>
            <w:ind w:left="0" w:hanging="0"/>
            <w:jc w:val="center"/>
            <w:rPr>
              <w:rFonts w:ascii="Ubuntu" w:hAnsi="Ubuntu" w:eastAsia="" w:cs="" w:cstheme="majorBidi" w:eastAsiaTheme="majorEastAsia"/>
              <w:b/>
              <w:b/>
              <w:bCs w:val="false"/>
              <w:color w:val="000000" w:themeShade="bf"/>
              <w:sz w:val="32"/>
            </w:rPr>
          </w:pPr>
          <w:r>
            <w:rPr>
              <w:rFonts w:eastAsia="" w:cs="" w:cstheme="majorBidi" w:eastAsiaTheme="majorEastAsia"/>
              <w:b/>
              <w:bCs w:val="false"/>
              <w:color w:val="000000" w:themeShade="bf"/>
              <w:sz w:val="32"/>
            </w:rPr>
            <w:t>Table of Contents</w:t>
          </w:r>
        </w:p>
        <w:p>
          <w:pPr>
            <w:pStyle w:val="Contents1"/>
            <w:tabs>
              <w:tab w:val="clear" w:pos="9360"/>
              <w:tab w:val="right" w:pos="9638" w:leader="dot"/>
            </w:tabs>
            <w:rPr/>
          </w:pPr>
          <w:r>
            <w:fldChar w:fldCharType="begin"/>
          </w:r>
          <w:r>
            <w:rPr>
              <w:webHidden/>
              <w:rStyle w:val="IndexLink"/>
              <w:vanish w:val="false"/>
            </w:rPr>
            <w:instrText xml:space="preserve"> TOC \z \o "1-3" \u \h</w:instrText>
          </w:r>
          <w:r>
            <w:rPr>
              <w:webHidden/>
              <w:rStyle w:val="IndexLink"/>
              <w:vanish w:val="false"/>
            </w:rPr>
            <w:fldChar w:fldCharType="separate"/>
          </w:r>
          <w:hyperlink w:anchor="__RefHeading___Toc15208_2719319028">
            <w:r>
              <w:rPr>
                <w:webHidden/>
                <w:rStyle w:val="IndexLink"/>
                <w:vanish w:val="false"/>
              </w:rPr>
              <w:t xml:space="preserve"> </w:t>
            </w:r>
            <w:r>
              <w:rPr>
                <w:rStyle w:val="IndexLink"/>
              </w:rPr>
              <w:t>1  Abbreviations</w:t>
              <w:tab/>
              <w:t>2</w:t>
            </w:r>
          </w:hyperlink>
        </w:p>
        <w:p>
          <w:pPr>
            <w:pStyle w:val="Contents1"/>
            <w:tabs>
              <w:tab w:val="clear" w:pos="9360"/>
              <w:tab w:val="right" w:pos="9638" w:leader="dot"/>
            </w:tabs>
            <w:rPr/>
          </w:pPr>
          <w:hyperlink w:anchor="__RefHeading___Toc15210_2719319028">
            <w:r>
              <w:rPr>
                <w:webHidden/>
                <w:rStyle w:val="IndexLink"/>
                <w:vanish w:val="false"/>
              </w:rPr>
              <w:t xml:space="preserve"> </w:t>
            </w:r>
            <w:r>
              <w:rPr>
                <w:rStyle w:val="IndexLink"/>
              </w:rPr>
              <w:t>2  Context</w:t>
              <w:tab/>
              <w:t>2</w:t>
            </w:r>
          </w:hyperlink>
        </w:p>
        <w:p>
          <w:pPr>
            <w:pStyle w:val="Contents2"/>
            <w:tabs>
              <w:tab w:val="clear" w:pos="9077"/>
              <w:tab w:val="right" w:pos="9638" w:leader="dot"/>
            </w:tabs>
            <w:rPr/>
          </w:pPr>
          <w:hyperlink w:anchor="__RefHeading___Toc15212_2719319028">
            <w:r>
              <w:rPr>
                <w:webHidden/>
                <w:rStyle w:val="IndexLink"/>
                <w:vanish w:val="false"/>
              </w:rPr>
              <w:t xml:space="preserve"> </w:t>
            </w:r>
            <w:r>
              <w:rPr>
                <w:rStyle w:val="IndexLink"/>
              </w:rPr>
              <w:t>2.1  Objectives</w:t>
              <w:tab/>
              <w:t>2</w:t>
            </w:r>
          </w:hyperlink>
        </w:p>
        <w:p>
          <w:pPr>
            <w:pStyle w:val="Contents2"/>
            <w:tabs>
              <w:tab w:val="clear" w:pos="9077"/>
              <w:tab w:val="right" w:pos="9638" w:leader="dot"/>
            </w:tabs>
            <w:rPr/>
          </w:pPr>
          <w:hyperlink w:anchor="__RefHeading___Toc15214_2719319028">
            <w:r>
              <w:rPr>
                <w:webHidden/>
                <w:rStyle w:val="IndexLink"/>
                <w:vanish w:val="false"/>
              </w:rPr>
              <w:t xml:space="preserve"> </w:t>
            </w:r>
            <w:r>
              <w:rPr>
                <w:rStyle w:val="IndexLink"/>
              </w:rPr>
              <w:t>2.2  Data reception and cleaning</w:t>
              <w:tab/>
              <w:t>2</w:t>
            </w:r>
          </w:hyperlink>
        </w:p>
        <w:p>
          <w:pPr>
            <w:pStyle w:val="Contents1"/>
            <w:tabs>
              <w:tab w:val="clear" w:pos="9360"/>
              <w:tab w:val="right" w:pos="9638" w:leader="dot"/>
            </w:tabs>
            <w:rPr/>
          </w:pPr>
          <w:hyperlink w:anchor="__RefHeading___Toc15216_2719319028">
            <w:r>
              <w:rPr>
                <w:webHidden/>
                <w:rStyle w:val="IndexLink"/>
                <w:vanish w:val="false"/>
              </w:rPr>
              <w:t xml:space="preserve"> </w:t>
            </w:r>
            <w:r>
              <w:rPr>
                <w:rStyle w:val="IndexLink"/>
              </w:rPr>
              <w:t>3  Methods</w:t>
              <w:tab/>
              <w:t>2</w:t>
            </w:r>
          </w:hyperlink>
        </w:p>
        <w:p>
          <w:pPr>
            <w:pStyle w:val="Contents2"/>
            <w:tabs>
              <w:tab w:val="clear" w:pos="9077"/>
              <w:tab w:val="right" w:pos="9638" w:leader="dot"/>
            </w:tabs>
            <w:rPr/>
          </w:pPr>
          <w:hyperlink w:anchor="__RefHeading___Toc15218_2719319028">
            <w:r>
              <w:rPr>
                <w:webHidden/>
                <w:rStyle w:val="IndexLink"/>
                <w:vanish w:val="false"/>
              </w:rPr>
              <w:t xml:space="preserve"> </w:t>
            </w:r>
            <w:r>
              <w:rPr>
                <w:rStyle w:val="IndexLink"/>
              </w:rPr>
              <w:t>3.1  Variables</w:t>
              <w:tab/>
              <w:t>2</w:t>
            </w:r>
          </w:hyperlink>
        </w:p>
        <w:p>
          <w:pPr>
            <w:pStyle w:val="Contents3"/>
            <w:tabs>
              <w:tab w:val="clear" w:pos="8794"/>
              <w:tab w:val="right" w:pos="9638" w:leader="dot"/>
            </w:tabs>
            <w:rPr/>
          </w:pPr>
          <w:hyperlink w:anchor="__RefHeading___Toc15220_2719319028">
            <w:r>
              <w:rPr>
                <w:webHidden/>
                <w:rStyle w:val="IndexLink"/>
                <w:vanish w:val="false"/>
              </w:rPr>
              <w:t xml:space="preserve"> </w:t>
            </w:r>
            <w:r>
              <w:rPr>
                <w:rStyle w:val="IndexLink"/>
              </w:rPr>
              <w:t>3.1.1  Primary and secondary outcomes</w:t>
              <w:tab/>
              <w:t>2</w:t>
            </w:r>
          </w:hyperlink>
        </w:p>
        <w:p>
          <w:pPr>
            <w:pStyle w:val="Contents3"/>
            <w:tabs>
              <w:tab w:val="clear" w:pos="8794"/>
              <w:tab w:val="right" w:pos="9638" w:leader="dot"/>
            </w:tabs>
            <w:rPr/>
          </w:pPr>
          <w:hyperlink w:anchor="__RefHeading___Toc15222_2719319028">
            <w:r>
              <w:rPr>
                <w:webHidden/>
                <w:rStyle w:val="IndexLink"/>
                <w:vanish w:val="false"/>
              </w:rPr>
              <w:t xml:space="preserve"> </w:t>
            </w:r>
            <w:r>
              <w:rPr>
                <w:rStyle w:val="IndexLink"/>
              </w:rPr>
              <w:t>3.1.2  Covariates</w:t>
              <w:tab/>
              <w:t>2</w:t>
            </w:r>
          </w:hyperlink>
        </w:p>
        <w:p>
          <w:pPr>
            <w:pStyle w:val="Contents2"/>
            <w:tabs>
              <w:tab w:val="clear" w:pos="9077"/>
              <w:tab w:val="right" w:pos="9638" w:leader="dot"/>
            </w:tabs>
            <w:rPr/>
          </w:pPr>
          <w:hyperlink w:anchor="__RefHeading___Toc15224_2719319028">
            <w:r>
              <w:rPr>
                <w:webHidden/>
                <w:rStyle w:val="IndexLink"/>
                <w:vanish w:val="false"/>
              </w:rPr>
              <w:t xml:space="preserve"> </w:t>
            </w:r>
            <w:r>
              <w:rPr>
                <w:rStyle w:val="IndexLink"/>
              </w:rPr>
              <w:t>3.2  Statistical analyses</w:t>
              <w:tab/>
              <w:t>2</w:t>
            </w:r>
          </w:hyperlink>
        </w:p>
        <w:p>
          <w:pPr>
            <w:pStyle w:val="Contents1"/>
            <w:tabs>
              <w:tab w:val="clear" w:pos="9360"/>
              <w:tab w:val="right" w:pos="9638" w:leader="dot"/>
            </w:tabs>
            <w:rPr/>
          </w:pPr>
          <w:hyperlink w:anchor="__RefHeading___Toc15226_2719319028">
            <w:r>
              <w:rPr>
                <w:webHidden/>
                <w:rStyle w:val="IndexLink"/>
                <w:vanish w:val="false"/>
              </w:rPr>
              <w:t xml:space="preserve"> </w:t>
            </w:r>
            <w:r>
              <w:rPr>
                <w:rStyle w:val="IndexLink"/>
              </w:rPr>
              <w:t>4  Results</w:t>
              <w:tab/>
              <w:t>2</w:t>
            </w:r>
          </w:hyperlink>
        </w:p>
        <w:p>
          <w:pPr>
            <w:pStyle w:val="Contents2"/>
            <w:tabs>
              <w:tab w:val="clear" w:pos="9077"/>
              <w:tab w:val="right" w:pos="9638" w:leader="dot"/>
            </w:tabs>
            <w:rPr/>
          </w:pPr>
          <w:hyperlink w:anchor="__RefHeading___Toc15228_2719319028">
            <w:r>
              <w:rPr>
                <w:webHidden/>
                <w:rStyle w:val="IndexLink"/>
                <w:vanish w:val="false"/>
              </w:rPr>
              <w:t xml:space="preserve"> </w:t>
            </w:r>
            <w:r>
              <w:rPr>
                <w:rStyle w:val="IndexLink"/>
              </w:rPr>
              <w:t>4.1  Study population and follow up</w:t>
              <w:tab/>
              <w:t>2</w:t>
            </w:r>
          </w:hyperlink>
        </w:p>
        <w:p>
          <w:pPr>
            <w:pStyle w:val="Contents2"/>
            <w:tabs>
              <w:tab w:val="clear" w:pos="9077"/>
              <w:tab w:val="right" w:pos="9638" w:leader="dot"/>
            </w:tabs>
            <w:rPr/>
          </w:pPr>
          <w:hyperlink w:anchor="__RefHeading___Toc15230_2719319028">
            <w:r>
              <w:rPr>
                <w:webHidden/>
                <w:rStyle w:val="IndexLink"/>
                <w:vanish w:val="false"/>
              </w:rPr>
              <w:t xml:space="preserve"> </w:t>
            </w:r>
            <w:r>
              <w:rPr>
                <w:rStyle w:val="IndexLink"/>
              </w:rPr>
              <w:t>4.2  Association between leadership commitment and telework satisfaction</w:t>
              <w:tab/>
              <w:t>4</w:t>
            </w:r>
          </w:hyperlink>
        </w:p>
        <w:p>
          <w:pPr>
            <w:pStyle w:val="Contents1"/>
            <w:tabs>
              <w:tab w:val="clear" w:pos="9360"/>
              <w:tab w:val="right" w:pos="9638" w:leader="dot"/>
            </w:tabs>
            <w:rPr/>
          </w:pPr>
          <w:hyperlink w:anchor="__RefHeading___Toc15232_2719319028">
            <w:r>
              <w:rPr>
                <w:webHidden/>
                <w:rStyle w:val="IndexLink"/>
                <w:vanish w:val="false"/>
              </w:rPr>
              <w:t xml:space="preserve"> </w:t>
            </w:r>
            <w:r>
              <w:rPr>
                <w:rStyle w:val="IndexLink"/>
              </w:rPr>
              <w:t>5  Observations and Limitations</w:t>
              <w:tab/>
              <w:t>6</w:t>
            </w:r>
          </w:hyperlink>
        </w:p>
        <w:p>
          <w:pPr>
            <w:pStyle w:val="Contents1"/>
            <w:tabs>
              <w:tab w:val="clear" w:pos="9360"/>
              <w:tab w:val="right" w:pos="9638" w:leader="dot"/>
            </w:tabs>
            <w:rPr/>
          </w:pPr>
          <w:hyperlink w:anchor="__RefHeading___Toc15234_2719319028">
            <w:r>
              <w:rPr>
                <w:webHidden/>
                <w:rStyle w:val="IndexLink"/>
                <w:vanish w:val="false"/>
              </w:rPr>
              <w:t xml:space="preserve"> </w:t>
            </w:r>
            <w:r>
              <w:rPr>
                <w:rStyle w:val="IndexLink"/>
              </w:rPr>
              <w:t>6  Conclusions</w:t>
              <w:tab/>
              <w:t>6</w:t>
            </w:r>
          </w:hyperlink>
        </w:p>
        <w:p>
          <w:pPr>
            <w:pStyle w:val="Contents1"/>
            <w:tabs>
              <w:tab w:val="clear" w:pos="9360"/>
              <w:tab w:val="right" w:pos="9638" w:leader="dot"/>
            </w:tabs>
            <w:rPr/>
          </w:pPr>
          <w:hyperlink w:anchor="__RefHeading___Toc15236_2719319028">
            <w:r>
              <w:rPr>
                <w:webHidden/>
                <w:rStyle w:val="IndexLink"/>
                <w:vanish w:val="false"/>
              </w:rPr>
              <w:t xml:space="preserve"> </w:t>
            </w:r>
            <w:r>
              <w:rPr>
                <w:rStyle w:val="IndexLink"/>
              </w:rPr>
              <w:t>7  References</w:t>
              <w:tab/>
              <w:t>6</w:t>
            </w:r>
          </w:hyperlink>
        </w:p>
        <w:p>
          <w:pPr>
            <w:pStyle w:val="Contents1"/>
            <w:tabs>
              <w:tab w:val="clear" w:pos="9360"/>
              <w:tab w:val="right" w:pos="9638" w:leader="dot"/>
            </w:tabs>
            <w:rPr/>
          </w:pPr>
          <w:hyperlink w:anchor="__RefHeading___Toc15238_2719319028">
            <w:r>
              <w:rPr>
                <w:webHidden/>
                <w:rStyle w:val="IndexLink"/>
                <w:vanish w:val="false"/>
              </w:rPr>
              <w:t xml:space="preserve"> </w:t>
            </w:r>
            <w:r>
              <w:rPr>
                <w:rStyle w:val="IndexLink"/>
              </w:rPr>
              <w:t>8  Appendix</w:t>
              <w:tab/>
              <w:t>7</w:t>
            </w:r>
          </w:hyperlink>
        </w:p>
        <w:p>
          <w:pPr>
            <w:pStyle w:val="Contents2"/>
            <w:tabs>
              <w:tab w:val="clear" w:pos="9077"/>
              <w:tab w:val="right" w:pos="9638" w:leader="dot"/>
            </w:tabs>
            <w:rPr/>
          </w:pPr>
          <w:hyperlink w:anchor="__RefHeading___Toc15240_2719319028">
            <w:r>
              <w:rPr>
                <w:webHidden/>
                <w:rStyle w:val="IndexLink"/>
                <w:vanish w:val="false"/>
              </w:rPr>
              <w:t xml:space="preserve"> </w:t>
            </w:r>
            <w:r>
              <w:rPr>
                <w:rStyle w:val="IndexLink"/>
              </w:rPr>
              <w:t>8.1  Exploratory data analysis</w:t>
              <w:tab/>
              <w:t>7</w:t>
            </w:r>
          </w:hyperlink>
        </w:p>
        <w:p>
          <w:pPr>
            <w:pStyle w:val="Contents2"/>
            <w:tabs>
              <w:tab w:val="clear" w:pos="9077"/>
              <w:tab w:val="right" w:pos="9638" w:leader="dot"/>
            </w:tabs>
            <w:rPr/>
          </w:pPr>
          <w:hyperlink w:anchor="__RefHeading___Toc15242_2719319028">
            <w:r>
              <w:rPr>
                <w:webHidden/>
                <w:rStyle w:val="IndexLink"/>
                <w:vanish w:val="false"/>
              </w:rPr>
              <w:t xml:space="preserve"> </w:t>
            </w:r>
            <w:r>
              <w:rPr>
                <w:rStyle w:val="IndexLink"/>
              </w:rPr>
              <w:t>8.2  Availability</w:t>
              <w:tab/>
              <w:t>7</w:t>
            </w:r>
          </w:hyperlink>
        </w:p>
        <w:p>
          <w:pPr>
            <w:pStyle w:val="Contents2"/>
            <w:tabs>
              <w:tab w:val="clear" w:pos="9077"/>
              <w:tab w:val="right" w:pos="9638" w:leader="dot"/>
            </w:tabs>
            <w:rPr/>
          </w:pPr>
          <w:hyperlink w:anchor="__RefHeading___Toc15244_2719319028">
            <w:r>
              <w:rPr>
                <w:webHidden/>
                <w:rStyle w:val="IndexLink"/>
                <w:vanish w:val="false"/>
              </w:rPr>
              <w:t xml:space="preserve"> </w:t>
            </w:r>
            <w:r>
              <w:rPr>
                <w:rStyle w:val="IndexLink"/>
              </w:rPr>
              <w:t>8.3  Analytical dataset</w:t>
              <w:tab/>
              <w:t>7</w:t>
            </w:r>
          </w:hyperlink>
          <w:r>
            <w:rPr>
              <w:rStyle w:val="IndexLink"/>
            </w:rPr>
            <w:fldChar w:fldCharType="end"/>
          </w:r>
        </w:p>
      </w:sdtContent>
    </w:sdt>
    <w:p>
      <w:pPr>
        <w:pStyle w:val="Normal"/>
        <w:rPr/>
      </w:pPr>
      <w:r>
        <w:rPr/>
        <mc:AlternateContent>
          <mc:Choice Requires="wps">
            <w:drawing>
              <wp:inline distT="0" distB="0" distL="0" distR="0">
                <wp:extent cx="6120130" cy="19050"/>
                <wp:effectExtent l="0" t="0" r="0" b="0"/>
                <wp:docPr id="1" name="Shape1"/>
                <a:graphic xmlns:a="http://schemas.openxmlformats.org/drawingml/2006/main">
                  <a:graphicData uri="http://schemas.microsoft.com/office/word/2010/wordprocessingShape">
                    <wps:wsp>
                      <wps:cNvSpPr/>
                      <wps:spPr>
                        <a:xfrm>
                          <a:off x="0" y="0"/>
                          <a:ext cx="612000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1" path="m0,0l-2147483645,0l-2147483645,-2147483646l0,-2147483646xe" fillcolor="white" stroked="t" o:allowincell="f" style="position:absolute;margin-left:0pt;margin-top:-1.55pt;width:481.85pt;height:1.45pt;mso-wrap-style:none;v-text-anchor:middle;mso-position-vertical:top">
                <v:fill o:detectmouseclick="t" type="solid" color2="black"/>
                <v:stroke color="black" joinstyle="round" endcap="flat"/>
                <w10:wrap type="square"/>
              </v:rect>
            </w:pict>
          </mc:Fallback>
        </mc:AlternateContent>
      </w:r>
    </w:p>
    <w:p>
      <w:pPr>
        <w:pStyle w:val="Normal"/>
        <w:rPr/>
      </w:pPr>
      <w:r>
        <w:rPr/>
      </w:r>
      <w:r>
        <w:br w:type="page"/>
      </w:r>
    </w:p>
    <w:p>
      <w:pPr>
        <w:pStyle w:val="Title"/>
        <w:rPr/>
      </w:pPr>
      <w:r>
        <w:rPr/>
        <w:t>Association between leadership commitment and telework satisfaction at NASA (2020): unweighted sex-adjusted stratified analysis</w:t>
      </w:r>
    </w:p>
    <w:p>
      <w:pPr>
        <w:pStyle w:val="TextBody"/>
        <w:rPr/>
      </w:pPr>
      <w:r>
        <w:rPr>
          <w:b/>
          <w:bCs/>
        </w:rPr>
        <w:t>Document version</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3960"/>
        <w:gridCol w:w="3959"/>
      </w:tblGrid>
      <w:tr>
        <w:trPr/>
        <w:tc>
          <w:tcPr>
            <w:tcW w:w="396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Version</w:t>
            </w:r>
          </w:p>
        </w:tc>
        <w:tc>
          <w:tcPr>
            <w:tcW w:w="3959"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Alterations</w:t>
            </w:r>
          </w:p>
        </w:tc>
      </w:tr>
      <w:tr>
        <w:trPr/>
        <w:tc>
          <w:tcPr>
            <w:tcW w:w="396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01</w:t>
            </w:r>
          </w:p>
        </w:tc>
        <w:tc>
          <w:tcPr>
            <w:tcW w:w="3959"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Initial version</w:t>
            </w:r>
          </w:p>
        </w:tc>
      </w:tr>
    </w:tbl>
    <w:p>
      <w:pPr>
        <w:pStyle w:val="Normal"/>
        <w:rPr/>
      </w:pPr>
      <w:r>
        <w:rPr/>
        <mc:AlternateContent>
          <mc:Choice Requires="wps">
            <w:drawing>
              <wp:inline distT="0" distB="0" distL="0" distR="0">
                <wp:extent cx="635" cy="19050"/>
                <wp:effectExtent l="0" t="0" r="0" b="0"/>
                <wp:docPr id="2" name="Shape2"/>
                <a:graphic xmlns:a="http://schemas.openxmlformats.org/drawingml/2006/main">
                  <a:graphicData uri="http://schemas.microsoft.com/office/word/2010/wordprocessingShape">
                    <wps:wsp>
                      <wps:cNvSpPr/>
                      <wps:spPr>
                        <a:xfrm>
                          <a:off x="0" y="0"/>
                          <a:ext cx="720" cy="19080"/>
                        </a:xfrm>
                        <a:prstGeom prst="rect">
                          <a:avLst/>
                        </a:prstGeom>
                        <a:solidFill>
                          <a:srgbClr val="ffffff"/>
                        </a:solidFill>
                        <a:ln w="0">
                          <a:solidFill>
                            <a:srgbClr val="000000"/>
                          </a:solidFill>
                        </a:ln>
                      </wps:spPr>
                      <wps:style>
                        <a:lnRef idx="0"/>
                        <a:fillRef idx="0"/>
                        <a:effectRef idx="0"/>
                        <a:fontRef idx="minor"/>
                      </wps:style>
                      <wps:bodyPr/>
                    </wps:wsp>
                  </a:graphicData>
                </a:graphic>
                <wp14:sizeRelH relativeFrom="page">
                  <wp14:pctWidth>100000</wp14:pctWidth>
                </wp14:sizeRelH>
              </wp:inline>
            </w:drawing>
          </mc:Choice>
          <mc:Fallback>
            <w:pict>
              <v:rect id="shape_0" ID="Shape2" path="m0,0l-2147483645,0l-2147483645,-2147483646l0,-2147483646xe" fillcolor="white" stroked="t" o:allowincell="f" style="position:absolute;margin-left:0pt;margin-top:-1.55pt;width:0pt;height:1.45pt;mso-wrap-style:none;v-text-anchor:middle;mso-position-vertical:top">
                <v:fill o:detectmouseclick="t" type="solid" color2="black"/>
                <v:stroke color="black" joinstyle="round" endcap="flat"/>
                <w10:wrap type="square"/>
              </v:rect>
            </w:pict>
          </mc:Fallback>
        </mc:AlternateContent>
      </w:r>
    </w:p>
    <w:p>
      <w:pPr>
        <w:pStyle w:val="Heading1"/>
        <w:rPr/>
      </w:pPr>
      <w:bookmarkStart w:id="0" w:name="__RefHeading___Toc15208_2719319028"/>
      <w:bookmarkStart w:id="1" w:name="abbreviations"/>
      <w:bookmarkEnd w:id="0"/>
      <w:r>
        <w:rPr/>
        <w:t>Abbreviations</w:t>
      </w:r>
      <w:bookmarkEnd w:id="1"/>
    </w:p>
    <w:p>
      <w:pPr>
        <w:pStyle w:val="Heading1"/>
        <w:rPr/>
      </w:pPr>
      <w:bookmarkStart w:id="2" w:name="__RefHeading___Toc15210_2719319028"/>
      <w:bookmarkEnd w:id="2"/>
      <w:r>
        <w:rPr/>
        <w:t>Context</w:t>
      </w:r>
    </w:p>
    <w:p>
      <w:pPr>
        <w:pStyle w:val="Heading2"/>
        <w:rPr/>
      </w:pPr>
      <w:bookmarkStart w:id="3" w:name="__RefHeading___Toc15212_2719319028"/>
      <w:bookmarkStart w:id="4" w:name="objectives"/>
      <w:bookmarkEnd w:id="3"/>
      <w:r>
        <w:rPr/>
        <w:t>Objectives</w:t>
      </w:r>
      <w:bookmarkEnd w:id="4"/>
    </w:p>
    <w:p>
      <w:pPr>
        <w:pStyle w:val="Heading2"/>
        <w:rPr/>
      </w:pPr>
      <w:bookmarkStart w:id="5" w:name="__RefHeading___Toc15214_2719319028"/>
      <w:bookmarkStart w:id="6" w:name="data-reception-and-cleaning"/>
      <w:bookmarkStart w:id="7" w:name="context"/>
      <w:bookmarkEnd w:id="5"/>
      <w:r>
        <w:rPr/>
        <w:t>Data reception and cleaning</w:t>
      </w:r>
      <w:bookmarkEnd w:id="6"/>
      <w:bookmarkEnd w:id="7"/>
    </w:p>
    <w:p>
      <w:pPr>
        <w:pStyle w:val="Heading1"/>
        <w:rPr/>
      </w:pPr>
      <w:bookmarkStart w:id="8" w:name="__RefHeading___Toc15216_2719319028"/>
      <w:bookmarkStart w:id="9" w:name="methods"/>
      <w:bookmarkEnd w:id="8"/>
      <w:r>
        <w:rPr/>
        <w:t>Methods</w:t>
      </w:r>
    </w:p>
    <w:p>
      <w:pPr>
        <w:pStyle w:val="Heading2"/>
        <w:rPr/>
      </w:pPr>
      <w:bookmarkStart w:id="10" w:name="__RefHeading___Toc15218_2719319028"/>
      <w:bookmarkEnd w:id="10"/>
      <w:r>
        <w:rPr/>
        <w:t>Variables</w:t>
      </w:r>
    </w:p>
    <w:p>
      <w:pPr>
        <w:pStyle w:val="Heading3"/>
        <w:rPr/>
      </w:pPr>
      <w:bookmarkStart w:id="11" w:name="__RefHeading___Toc15220_2719319028"/>
      <w:bookmarkStart w:id="12" w:name="primary-and-secondary-outcomes"/>
      <w:bookmarkEnd w:id="11"/>
      <w:r>
        <w:rPr/>
        <w:t>Primary and secondary outcomes</w:t>
      </w:r>
      <w:bookmarkEnd w:id="12"/>
    </w:p>
    <w:p>
      <w:pPr>
        <w:pStyle w:val="Heading3"/>
        <w:rPr/>
      </w:pPr>
      <w:bookmarkStart w:id="13" w:name="__RefHeading___Toc15222_2719319028"/>
      <w:bookmarkStart w:id="14" w:name="covariates"/>
      <w:bookmarkStart w:id="15" w:name="variables"/>
      <w:bookmarkEnd w:id="13"/>
      <w:r>
        <w:rPr/>
        <w:t>Covariates</w:t>
      </w:r>
      <w:bookmarkEnd w:id="14"/>
      <w:bookmarkEnd w:id="15"/>
    </w:p>
    <w:p>
      <w:pPr>
        <w:pStyle w:val="Heading2"/>
        <w:rPr/>
      </w:pPr>
      <w:bookmarkStart w:id="16" w:name="__RefHeading___Toc15224_2719319028"/>
      <w:bookmarkStart w:id="17" w:name="statistical-analyses"/>
      <w:bookmarkEnd w:id="16"/>
      <w:r>
        <w:rPr/>
        <w:t>Statistical analyses</w:t>
      </w:r>
    </w:p>
    <w:p>
      <w:pPr>
        <w:pStyle w:val="FirstParagraph"/>
        <w:rPr/>
      </w:pPr>
      <w:r>
        <w:rPr/>
        <w:t xml:space="preserve">This analysis was performed using statistical software </w:t>
      </w:r>
      <w:r>
        <w:rPr>
          <w:rStyle w:val="VerbatimChar"/>
        </w:rPr>
        <w:t>R</w:t>
      </w:r>
      <w:r>
        <w:rPr/>
        <w:t xml:space="preserve"> version 4.1.2.</w:t>
      </w:r>
      <w:bookmarkEnd w:id="9"/>
      <w:bookmarkEnd w:id="17"/>
    </w:p>
    <w:p>
      <w:pPr>
        <w:pStyle w:val="Heading1"/>
        <w:rPr/>
      </w:pPr>
      <w:bookmarkStart w:id="18" w:name="__RefHeading___Toc15226_2719319028"/>
      <w:bookmarkEnd w:id="18"/>
      <w:r>
        <w:rPr/>
        <w:t>Results</w:t>
      </w:r>
    </w:p>
    <w:p>
      <w:pPr>
        <w:pStyle w:val="Heading2"/>
        <w:rPr/>
      </w:pPr>
      <w:bookmarkStart w:id="19" w:name="__RefHeading___Toc15228_2719319028"/>
      <w:bookmarkEnd w:id="19"/>
      <w:r>
        <w:rPr/>
        <w:t>Study population and follow up</w:t>
      </w:r>
    </w:p>
    <w:p>
      <w:pPr>
        <w:pStyle w:val="FirstParagraph"/>
        <w:rPr/>
      </w:pPr>
      <w:r>
        <w:rPr/>
        <w:t>The raw database contained 10588 surveys, of which 1183 incomplete cases were removed. Of the complete cases 1920 participants did not agree nor disagree with at least one of the survey questions. These did not meet the inclusion criteria and were also removed from the analysis. After the inclusion and exclusion criteria were applied the final number of surveys in the analysis is 7485. Table 1 shows the characteristics of the surveys included in the final analysis.</w:t>
      </w:r>
    </w:p>
    <w:p>
      <w:pPr>
        <w:pStyle w:val="TableCaption"/>
        <w:rPr/>
      </w:pPr>
      <w:r>
        <w:rPr>
          <w:b/>
          <w:bCs/>
        </w:rPr>
        <w:t>Table 1</w:t>
      </w:r>
      <w:r>
        <w:rPr/>
        <w:t xml:space="preserve"> Characteristics of the study population.</w:t>
      </w:r>
    </w:p>
    <w:tbl>
      <w:tblPr>
        <w:tblStyle w:val="Table"/>
        <w:tblW w:w="5000" w:type="pct"/>
        <w:jc w:val="left"/>
        <w:tblInd w:w="55" w:type="dxa"/>
        <w:tblLayout w:type="fixed"/>
        <w:tblCellMar>
          <w:top w:w="55" w:type="dxa"/>
          <w:left w:w="55" w:type="dxa"/>
          <w:bottom w:w="55" w:type="dxa"/>
          <w:right w:w="55" w:type="dxa"/>
        </w:tblCellMar>
        <w:tblLook w:val="0020" w:noHBand="0" w:noVBand="0" w:firstColumn="0" w:lastRow="0" w:lastColumn="0" w:firstRow="1"/>
      </w:tblPr>
      <w:tblGrid>
        <w:gridCol w:w="8224"/>
        <w:gridCol w:w="1413"/>
      </w:tblGrid>
      <w:tr>
        <w:trPr/>
        <w:tc>
          <w:tcPr>
            <w:tcW w:w="8224"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Characteristic</w:t>
            </w:r>
          </w:p>
        </w:tc>
        <w:tc>
          <w:tcPr>
            <w:tcW w:w="1413"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N = 7,485</w:t>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Sex, n (%)</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Male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4,764 (64%)</w:t>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Female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2,721 (36%)</w:t>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How satisfied are you with the Telework program in your agency?, n (%)</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Strongly disagree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22 (0.3%)</w:t>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87 (1.2%)</w:t>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1,911 (26%)</w:t>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Strongly 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5,465 (73%)</w:t>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Managers promote communication among different work units., n (%)</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Strongly disagree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129 (1.7%)</w:t>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Disagree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328 (4.4%)</w:t>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3,709 (50%)</w:t>
            </w:r>
          </w:p>
        </w:tc>
      </w:tr>
      <w:tr>
        <w:trPr/>
        <w:tc>
          <w:tcPr>
            <w:tcW w:w="8224"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Strongly Agree</w:t>
            </w:r>
          </w:p>
        </w:tc>
        <w:tc>
          <w:tcPr>
            <w:tcW w:w="1413"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3,319 (44%)</w:t>
            </w:r>
          </w:p>
        </w:tc>
      </w:tr>
    </w:tbl>
    <w:p>
      <w:pPr>
        <w:pStyle w:val="TextBody"/>
        <w:rPr/>
      </w:pPr>
      <w:r>
        <w:rPr/>
        <w:t>One third of the employees at NASA are women (36.4%, Table 1). Both survey questions addressed in this study showed most NASA employees demonstrated high levels of satisfaction when the survey was conducted. The proportion of employees that agree or strongly agree with the satisfaction question (q58 – How satisfied are you with the Telework program in your agency?) was 98.5%. The proportion of employees that agree or strongly agree with leadership commitment (q29 – Managers promote communication among different work units (for example, about projects, goals, needed resources)) was 93.9%. Figure 1 shows how both sexes answered these questions.</w:t>
      </w:r>
    </w:p>
    <w:p>
      <w:pPr>
        <w:pStyle w:val="CaptionedFigure"/>
        <w:rPr/>
      </w:pPr>
      <w:r>
        <w:rPr/>
        <w:drawing>
          <wp:inline distT="0" distB="0" distL="0" distR="0">
            <wp:extent cx="4333240" cy="4333240"/>
            <wp:effectExtent l="0" t="0" r="0" b="0"/>
            <wp:docPr id="3" name="Picture" descr="Figure 1 Dichotomized survey responses,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descr="Figure 1 Dichotomized survey responses, by sex."/>
                    <pic:cNvPicPr>
                      <a:picLocks noChangeAspect="1" noChangeArrowheads="1"/>
                    </pic:cNvPicPr>
                  </pic:nvPicPr>
                  <pic:blipFill>
                    <a:blip r:embed="rId2"/>
                    <a:stretch>
                      <a:fillRect/>
                    </a:stretch>
                  </pic:blipFill>
                  <pic:spPr bwMode="auto">
                    <a:xfrm>
                      <a:off x="0" y="0"/>
                      <a:ext cx="4333240" cy="4333240"/>
                    </a:xfrm>
                    <a:prstGeom prst="rect">
                      <a:avLst/>
                    </a:prstGeom>
                  </pic:spPr>
                </pic:pic>
              </a:graphicData>
            </a:graphic>
          </wp:inline>
        </w:drawing>
      </w:r>
    </w:p>
    <w:p>
      <w:pPr>
        <w:pStyle w:val="ImageCaption"/>
        <w:rPr/>
      </w:pPr>
      <w:r>
        <w:rPr>
          <w:b/>
          <w:bCs/>
        </w:rPr>
        <w:t>Figure 1</w:t>
      </w:r>
      <w:r>
        <w:rPr/>
        <w:t xml:space="preserve"> Dichotomized survey responses, by sex.</w:t>
      </w:r>
    </w:p>
    <w:p>
      <w:pPr>
        <w:pStyle w:val="TextBody"/>
        <w:rPr/>
      </w:pPr>
      <w:bookmarkStart w:id="20" w:name="study-population-and-follow-up"/>
      <w:r>
        <w:rPr/>
        <w:t>Men and women tended to answer the satisfaction question at the same rates in 2020. Of the 7376 NASA employees that are in agreement with the satisfaction question, 36.3% were women, and of the 109 employees that are in disagreement, women were 38.5% (Figure 1).</w:t>
      </w:r>
      <w:bookmarkEnd w:id="20"/>
    </w:p>
    <w:p>
      <w:pPr>
        <w:pStyle w:val="Heading2"/>
        <w:rPr/>
      </w:pPr>
      <w:bookmarkStart w:id="21" w:name="__RefHeading___Toc15230_2719319028"/>
      <w:bookmarkEnd w:id="21"/>
      <w:r>
        <w:rPr/>
        <w:t>Association between leadership commitment and telework satisfaction</w:t>
      </w:r>
    </w:p>
    <w:p>
      <w:pPr>
        <w:pStyle w:val="FirstParagraph"/>
        <w:rPr/>
      </w:pPr>
      <w:r>
        <w:rPr/>
        <w:t>A binary categorization was performed between the two survey responses, where “Agreement” aggregates all answers “Agree” and “Strongly agree”. In order to compare how the responses to the leadership commitment and telework satisfaction relate to each other, a cross-tabulation of the dichotomized answers from each study participant is shown in Table 2. This cross tabulation shows that the largest proportion of survey respondents are in agreement, simultaneously, to both questions.</w:t>
      </w:r>
    </w:p>
    <w:p>
      <w:pPr>
        <w:pStyle w:val="TextBody"/>
        <w:rPr/>
      </w:pPr>
      <w:r>
        <w:rPr/>
        <w:t>The overall (unadjusted) effect of the association was significant (OR: 7.47, 95% CI: [4.86, 11.24], p&lt;0.001). This means that when survey respondents perceive leadership commitment, they are 7 times as likely to report telework satisfaction as participants that do not perceive such commitment from leadership. Alternatively this translates to a 6-fold increase in the group that perceives high levels of leadership commitment when compared to the group that does not perceive such levels of commitment from their management.</w:t>
      </w:r>
    </w:p>
    <w:p>
      <w:pPr>
        <w:pStyle w:val="TextBody"/>
        <w:rPr/>
      </w:pPr>
      <w:r>
        <w:rPr/>
        <w:t>In order to control for a possible confounder between the association and the sex of the study participant, the analysis was stratified by sex. The Mantel-Haenszel adjustment for the OR was similar to the overall unadjusted effect estimate (adjusted OR: 7.41, 95% CI: [4.88, 11.25], p&lt;0.001). For comparison, the relative difference between the overall unadjusted effect of association and the adjusted effect is on the order of 0.7%, so we may rule out confounding between sex and this association. If there was no interaction between sex and the association between leadership commitment and satisfaction it would be sufficient to report the unadjusted OR.</w:t>
      </w:r>
    </w:p>
    <w:p>
      <w:pPr>
        <w:pStyle w:val="TableCaption"/>
        <w:rPr/>
      </w:pPr>
      <w:r>
        <w:rPr>
          <w:b/>
          <w:bCs/>
        </w:rPr>
        <w:t>Table 2</w:t>
      </w:r>
      <w:r>
        <w:rPr/>
        <w:t xml:space="preserve"> Cross tabulation of dichotomized responses, overall and by sex of survey respondents.</w:t>
      </w:r>
    </w:p>
    <w:tbl>
      <w:tblPr>
        <w:tblW w:w="9678" w:type="dxa"/>
        <w:jc w:val="left"/>
        <w:tblInd w:w="15" w:type="dxa"/>
        <w:tblLayout w:type="fixed"/>
        <w:tblCellMar>
          <w:top w:w="55" w:type="dxa"/>
          <w:left w:w="55" w:type="dxa"/>
          <w:bottom w:w="55" w:type="dxa"/>
          <w:right w:w="55" w:type="dxa"/>
        </w:tblCellMar>
      </w:tblPr>
      <w:tblGrid>
        <w:gridCol w:w="4170"/>
        <w:gridCol w:w="2410"/>
        <w:gridCol w:w="2409"/>
        <w:gridCol w:w="688"/>
      </w:tblGrid>
      <w:tr>
        <w:trPr/>
        <w:tc>
          <w:tcPr>
            <w:tcW w:w="4170" w:type="dxa"/>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before="0" w:after="0"/>
              <w:jc w:val="center"/>
              <w:rPr>
                <w:b/>
                <w:b/>
                <w:bCs/>
                <w:i w:val="false"/>
                <w:i w:val="false"/>
                <w:iCs w:val="false"/>
                <w:strike w:val="false"/>
                <w:dstrike w:val="false"/>
                <w:outline w:val="false"/>
                <w:shadow w:val="false"/>
                <w:color w:val="000000"/>
                <w:sz w:val="22"/>
                <w:szCs w:val="22"/>
                <w:u w:val="none"/>
                <w:lang w:val="en-US"/>
              </w:rPr>
            </w:pPr>
            <w:r>
              <w:rPr>
                <w:b/>
                <w:bCs/>
                <w:i w:val="false"/>
                <w:iCs w:val="false"/>
                <w:strike w:val="false"/>
                <w:dstrike w:val="false"/>
                <w:outline w:val="false"/>
                <w:shadow w:val="false"/>
                <w:color w:val="000000"/>
                <w:sz w:val="22"/>
                <w:szCs w:val="22"/>
                <w:u w:val="none"/>
                <w:lang w:val="en-US"/>
              </w:rPr>
            </w:r>
          </w:p>
        </w:tc>
        <w:tc>
          <w:tcPr>
            <w:tcW w:w="4819" w:type="dxa"/>
            <w:gridSpan w:val="2"/>
            <w:tcBorders>
              <w:top w:val="single" w:sz="4" w:space="0" w:color="000000"/>
              <w:left w:val="single" w:sz="4" w:space="0" w:color="000000"/>
              <w:bottom w:val="single" w:sz="4" w:space="0" w:color="000000"/>
            </w:tcBorders>
            <w:shd w:color="auto" w:fill="B2B2B2"/>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How satisfied are you with the Telework program in your agency?</w:t>
            </w:r>
          </w:p>
        </w:tc>
        <w:tc>
          <w:tcPr>
            <w:tcW w:w="688" w:type="dxa"/>
            <w:tcBorders>
              <w:top w:val="single" w:sz="4" w:space="0" w:color="000000"/>
              <w:left w:val="single" w:sz="4" w:space="0" w:color="000000"/>
              <w:bottom w:val="single" w:sz="4" w:space="0" w:color="000000"/>
              <w:right w:val="single" w:sz="4" w:space="0" w:color="000000"/>
            </w:tcBorders>
            <w:shd w:color="auto" w:fill="B2B2B2"/>
            <w:vAlign w:val="center"/>
          </w:tcPr>
          <w:p>
            <w:pPr>
              <w:pStyle w:val="Compact"/>
              <w:widowControl w:val="false"/>
              <w:tabs>
                <w:tab w:val="clear" w:pos="720"/>
              </w:tabs>
              <w:spacing w:lineRule="auto" w:line="276" w:before="0" w:after="0"/>
              <w:jc w:val="center"/>
              <w:rPr>
                <w:b/>
                <w:b/>
                <w:bCs/>
                <w:i w:val="false"/>
                <w:i w:val="false"/>
                <w:iCs w:val="false"/>
                <w:strike w:val="false"/>
                <w:dstrike w:val="false"/>
                <w:outline w:val="false"/>
                <w:shadow w:val="false"/>
                <w:color w:val="000000"/>
                <w:sz w:val="22"/>
                <w:szCs w:val="22"/>
                <w:u w:val="none"/>
                <w:lang w:val="en-US"/>
              </w:rPr>
            </w:pPr>
            <w:r>
              <w:rPr>
                <w:b/>
                <w:bCs/>
                <w:i w:val="false"/>
                <w:iCs w:val="false"/>
                <w:strike w:val="false"/>
                <w:dstrike w:val="false"/>
                <w:outline w:val="false"/>
                <w:shadow w:val="false"/>
                <w:color w:val="000000"/>
                <w:sz w:val="22"/>
                <w:szCs w:val="22"/>
                <w:u w:val="none"/>
                <w:lang w:val="en-US"/>
              </w:rPr>
            </w:r>
          </w:p>
        </w:tc>
      </w:tr>
      <w:tr>
        <w:trPr/>
        <w:tc>
          <w:tcPr>
            <w:tcW w:w="4170"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rPr>
            </w:pPr>
            <w:r>
              <w:rPr>
                <w:b w:val="false"/>
                <w:bCs w:val="false"/>
                <w:i w:val="false"/>
                <w:iCs w:val="false"/>
                <w:strike w:val="false"/>
                <w:dstrike w:val="false"/>
                <w:outline w:val="false"/>
                <w:shadow w:val="false"/>
                <w:color w:val="000000"/>
                <w:sz w:val="22"/>
                <w:szCs w:val="22"/>
                <w:u w:val="none"/>
                <w:lang w:val="en-US"/>
              </w:rPr>
            </w:r>
          </w:p>
        </w:tc>
        <w:tc>
          <w:tcPr>
            <w:tcW w:w="241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Disagreement</w:t>
            </w:r>
          </w:p>
        </w:tc>
        <w:tc>
          <w:tcPr>
            <w:tcW w:w="240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Agreement</w:t>
            </w:r>
          </w:p>
        </w:tc>
        <w:tc>
          <w:tcPr>
            <w:tcW w:w="688"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Total</w:t>
            </w:r>
          </w:p>
        </w:tc>
      </w:tr>
      <w:tr>
        <w:trPr/>
        <w:tc>
          <w:tcPr>
            <w:tcW w:w="4170" w:type="dxa"/>
            <w:tcBorders>
              <w:left w:val="single" w:sz="4" w:space="0" w:color="000000"/>
              <w:bottom w:val="single" w:sz="4" w:space="0" w:color="000000"/>
            </w:tcBorders>
            <w:vAlign w:val="center"/>
          </w:tcPr>
          <w:p>
            <w:pPr>
              <w:pStyle w:val="Compact"/>
              <w:widowControl w:val="false"/>
              <w:tabs>
                <w:tab w:val="clear" w:pos="720"/>
              </w:tabs>
              <w:spacing w:lineRule="auto" w:line="276"/>
              <w:rPr/>
            </w:pPr>
            <w:r>
              <w:rPr>
                <w:b/>
                <w:bCs/>
                <w:i w:val="false"/>
                <w:iCs w:val="false"/>
                <w:strike w:val="false"/>
                <w:dstrike w:val="false"/>
                <w:outline w:val="false"/>
                <w:shadow w:val="false"/>
                <w:color w:val="000000"/>
                <w:sz w:val="22"/>
                <w:szCs w:val="22"/>
                <w:u w:val="none"/>
                <w:lang w:val="en-US"/>
              </w:rPr>
              <w:t>Managers promote communication among different work units</w:t>
            </w:r>
          </w:p>
        </w:tc>
        <w:tc>
          <w:tcPr>
            <w:tcW w:w="2410"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rPr>
            </w:pPr>
            <w:r>
              <w:rPr>
                <w:b w:val="false"/>
                <w:bCs w:val="false"/>
                <w:i w:val="false"/>
                <w:iCs w:val="false"/>
                <w:strike w:val="false"/>
                <w:dstrike w:val="false"/>
                <w:outline w:val="false"/>
                <w:shadow w:val="false"/>
                <w:color w:val="000000"/>
                <w:sz w:val="22"/>
                <w:szCs w:val="22"/>
                <w:u w:val="none"/>
                <w:lang w:val="en-US"/>
              </w:rPr>
            </w:r>
          </w:p>
        </w:tc>
        <w:tc>
          <w:tcPr>
            <w:tcW w:w="2409" w:type="dxa"/>
            <w:tcBorders>
              <w:left w:val="single" w:sz="4" w:space="0" w:color="000000"/>
              <w:bottom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rPr>
            </w:pPr>
            <w:r>
              <w:rPr>
                <w:b w:val="false"/>
                <w:bCs w:val="false"/>
                <w:i w:val="false"/>
                <w:iCs w:val="false"/>
                <w:strike w:val="false"/>
                <w:dstrike w:val="false"/>
                <w:outline w:val="false"/>
                <w:shadow w:val="false"/>
                <w:color w:val="000000"/>
                <w:sz w:val="22"/>
                <w:szCs w:val="22"/>
                <w:u w:val="none"/>
                <w:lang w:val="en-US"/>
              </w:rPr>
            </w:r>
          </w:p>
        </w:tc>
        <w:tc>
          <w:tcPr>
            <w:tcW w:w="688"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before="0" w:after="0"/>
              <w:jc w:val="center"/>
              <w:rPr>
                <w:b w:val="false"/>
                <w:b w:val="false"/>
                <w:bCs w:val="false"/>
                <w:i w:val="false"/>
                <w:i w:val="false"/>
                <w:iCs w:val="false"/>
                <w:strike w:val="false"/>
                <w:dstrike w:val="false"/>
                <w:outline w:val="false"/>
                <w:shadow w:val="false"/>
                <w:color w:val="000000"/>
                <w:sz w:val="22"/>
                <w:szCs w:val="22"/>
                <w:u w:val="none"/>
                <w:lang w:val="en-US"/>
              </w:rPr>
            </w:pPr>
            <w:r>
              <w:rPr>
                <w:b w:val="false"/>
                <w:bCs w:val="false"/>
                <w:i w:val="false"/>
                <w:iCs w:val="false"/>
                <w:strike w:val="false"/>
                <w:dstrike w:val="false"/>
                <w:outline w:val="false"/>
                <w:shadow w:val="false"/>
                <w:color w:val="000000"/>
                <w:sz w:val="22"/>
                <w:szCs w:val="22"/>
                <w:u w:val="none"/>
                <w:lang w:val="en-US"/>
              </w:rPr>
            </w:r>
          </w:p>
        </w:tc>
      </w:tr>
      <w:tr>
        <w:trPr/>
        <w:tc>
          <w:tcPr>
            <w:tcW w:w="9677" w:type="dxa"/>
            <w:gridSpan w:val="4"/>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rPr/>
            </w:pPr>
            <w:r>
              <w:rPr>
                <w:b w:val="false"/>
                <w:bCs w:val="false"/>
                <w:i w:val="false"/>
                <w:iCs w:val="false"/>
                <w:strike w:val="false"/>
                <w:dstrike w:val="false"/>
                <w:outline w:val="false"/>
                <w:shadow w:val="false"/>
                <w:color w:val="000000"/>
                <w:sz w:val="22"/>
                <w:szCs w:val="22"/>
                <w:u w:val="none"/>
                <w:lang w:val="en-US"/>
              </w:rPr>
              <w:t>Overall</w:t>
            </w:r>
          </w:p>
        </w:tc>
      </w:tr>
      <w:tr>
        <w:trPr/>
        <w:tc>
          <w:tcPr>
            <w:tcW w:w="41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Disagreement</w:t>
            </w:r>
          </w:p>
        </w:tc>
        <w:tc>
          <w:tcPr>
            <w:tcW w:w="241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34</w:t>
            </w:r>
          </w:p>
        </w:tc>
        <w:tc>
          <w:tcPr>
            <w:tcW w:w="240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423</w:t>
            </w:r>
          </w:p>
        </w:tc>
        <w:tc>
          <w:tcPr>
            <w:tcW w:w="688"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457</w:t>
            </w:r>
          </w:p>
        </w:tc>
      </w:tr>
      <w:tr>
        <w:trPr/>
        <w:tc>
          <w:tcPr>
            <w:tcW w:w="41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Agreement</w:t>
            </w:r>
          </w:p>
        </w:tc>
        <w:tc>
          <w:tcPr>
            <w:tcW w:w="241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75</w:t>
            </w:r>
          </w:p>
        </w:tc>
        <w:tc>
          <w:tcPr>
            <w:tcW w:w="240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6,953</w:t>
            </w:r>
          </w:p>
        </w:tc>
        <w:tc>
          <w:tcPr>
            <w:tcW w:w="688"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7,028</w:t>
            </w:r>
          </w:p>
        </w:tc>
      </w:tr>
      <w:tr>
        <w:trPr/>
        <w:tc>
          <w:tcPr>
            <w:tcW w:w="41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Total</w:t>
            </w:r>
          </w:p>
        </w:tc>
        <w:tc>
          <w:tcPr>
            <w:tcW w:w="241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109</w:t>
            </w:r>
          </w:p>
        </w:tc>
        <w:tc>
          <w:tcPr>
            <w:tcW w:w="240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7,376</w:t>
            </w:r>
          </w:p>
        </w:tc>
        <w:tc>
          <w:tcPr>
            <w:tcW w:w="688"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7,485</w:t>
            </w:r>
          </w:p>
        </w:tc>
      </w:tr>
      <w:tr>
        <w:trPr/>
        <w:tc>
          <w:tcPr>
            <w:tcW w:w="9677" w:type="dxa"/>
            <w:gridSpan w:val="4"/>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rPr/>
            </w:pPr>
            <w:r>
              <w:rPr>
                <w:b w:val="false"/>
                <w:bCs w:val="false"/>
                <w:i w:val="false"/>
                <w:iCs w:val="false"/>
                <w:strike w:val="false"/>
                <w:dstrike w:val="false"/>
                <w:outline w:val="false"/>
                <w:shadow w:val="false"/>
                <w:color w:val="000000"/>
                <w:sz w:val="22"/>
                <w:szCs w:val="22"/>
                <w:u w:val="none"/>
                <w:lang w:val="en-US"/>
              </w:rPr>
              <w:t>Males</w:t>
            </w:r>
          </w:p>
        </w:tc>
      </w:tr>
      <w:tr>
        <w:trPr/>
        <w:tc>
          <w:tcPr>
            <w:tcW w:w="41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Disagreement</w:t>
            </w:r>
          </w:p>
        </w:tc>
        <w:tc>
          <w:tcPr>
            <w:tcW w:w="241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21</w:t>
            </w:r>
          </w:p>
        </w:tc>
        <w:tc>
          <w:tcPr>
            <w:tcW w:w="240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248</w:t>
            </w:r>
          </w:p>
        </w:tc>
        <w:tc>
          <w:tcPr>
            <w:tcW w:w="688"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269</w:t>
            </w:r>
          </w:p>
        </w:tc>
      </w:tr>
      <w:tr>
        <w:trPr/>
        <w:tc>
          <w:tcPr>
            <w:tcW w:w="41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Agreement</w:t>
            </w:r>
          </w:p>
        </w:tc>
        <w:tc>
          <w:tcPr>
            <w:tcW w:w="241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46</w:t>
            </w:r>
          </w:p>
        </w:tc>
        <w:tc>
          <w:tcPr>
            <w:tcW w:w="240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4,449</w:t>
            </w:r>
          </w:p>
        </w:tc>
        <w:tc>
          <w:tcPr>
            <w:tcW w:w="688"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4,495</w:t>
            </w:r>
          </w:p>
        </w:tc>
      </w:tr>
      <w:tr>
        <w:trPr/>
        <w:tc>
          <w:tcPr>
            <w:tcW w:w="41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Total</w:t>
            </w:r>
          </w:p>
        </w:tc>
        <w:tc>
          <w:tcPr>
            <w:tcW w:w="241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67</w:t>
            </w:r>
          </w:p>
        </w:tc>
        <w:tc>
          <w:tcPr>
            <w:tcW w:w="240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4,697</w:t>
            </w:r>
          </w:p>
        </w:tc>
        <w:tc>
          <w:tcPr>
            <w:tcW w:w="688"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4,764</w:t>
            </w:r>
          </w:p>
        </w:tc>
      </w:tr>
      <w:tr>
        <w:trPr/>
        <w:tc>
          <w:tcPr>
            <w:tcW w:w="9677" w:type="dxa"/>
            <w:gridSpan w:val="4"/>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rPr/>
            </w:pPr>
            <w:r>
              <w:rPr>
                <w:b w:val="false"/>
                <w:bCs w:val="false"/>
                <w:i w:val="false"/>
                <w:iCs w:val="false"/>
                <w:strike w:val="false"/>
                <w:dstrike w:val="false"/>
                <w:outline w:val="false"/>
                <w:shadow w:val="false"/>
                <w:color w:val="000000"/>
                <w:sz w:val="22"/>
                <w:szCs w:val="22"/>
                <w:u w:val="none"/>
                <w:lang w:val="en-US"/>
              </w:rPr>
              <w:t>Females</w:t>
            </w:r>
          </w:p>
        </w:tc>
      </w:tr>
      <w:tr>
        <w:trPr/>
        <w:tc>
          <w:tcPr>
            <w:tcW w:w="41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Disagreement</w:t>
            </w:r>
          </w:p>
        </w:tc>
        <w:tc>
          <w:tcPr>
            <w:tcW w:w="241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13</w:t>
            </w:r>
          </w:p>
        </w:tc>
        <w:tc>
          <w:tcPr>
            <w:tcW w:w="240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175</w:t>
            </w:r>
          </w:p>
        </w:tc>
        <w:tc>
          <w:tcPr>
            <w:tcW w:w="688"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188</w:t>
            </w:r>
          </w:p>
        </w:tc>
      </w:tr>
      <w:tr>
        <w:trPr/>
        <w:tc>
          <w:tcPr>
            <w:tcW w:w="41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Agreement</w:t>
            </w:r>
          </w:p>
        </w:tc>
        <w:tc>
          <w:tcPr>
            <w:tcW w:w="241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29</w:t>
            </w:r>
          </w:p>
        </w:tc>
        <w:tc>
          <w:tcPr>
            <w:tcW w:w="240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2,504</w:t>
            </w:r>
          </w:p>
        </w:tc>
        <w:tc>
          <w:tcPr>
            <w:tcW w:w="688"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2,533</w:t>
            </w:r>
          </w:p>
        </w:tc>
      </w:tr>
      <w:tr>
        <w:trPr/>
        <w:tc>
          <w:tcPr>
            <w:tcW w:w="417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bCs/>
                <w:i w:val="false"/>
                <w:iCs w:val="false"/>
                <w:strike w:val="false"/>
                <w:dstrike w:val="false"/>
                <w:outline w:val="false"/>
                <w:shadow w:val="false"/>
                <w:color w:val="000000"/>
                <w:sz w:val="22"/>
                <w:szCs w:val="22"/>
                <w:u w:val="none"/>
                <w:lang w:val="en-US"/>
              </w:rPr>
              <w:t>Total</w:t>
            </w:r>
          </w:p>
        </w:tc>
        <w:tc>
          <w:tcPr>
            <w:tcW w:w="2410"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42</w:t>
            </w:r>
          </w:p>
        </w:tc>
        <w:tc>
          <w:tcPr>
            <w:tcW w:w="2409" w:type="dxa"/>
            <w:tcBorders>
              <w:left w:val="single" w:sz="4" w:space="0" w:color="000000"/>
              <w:bottom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2,679</w:t>
            </w:r>
          </w:p>
        </w:tc>
        <w:tc>
          <w:tcPr>
            <w:tcW w:w="688" w:type="dxa"/>
            <w:tcBorders>
              <w:left w:val="single" w:sz="4" w:space="0" w:color="000000"/>
              <w:bottom w:val="single" w:sz="4" w:space="0" w:color="000000"/>
              <w:right w:val="single" w:sz="4" w:space="0" w:color="000000"/>
            </w:tcBorders>
            <w:vAlign w:val="center"/>
          </w:tcPr>
          <w:p>
            <w:pPr>
              <w:pStyle w:val="Compact"/>
              <w:widowControl w:val="false"/>
              <w:tabs>
                <w:tab w:val="clear" w:pos="720"/>
              </w:tabs>
              <w:spacing w:lineRule="auto" w:line="276"/>
              <w:jc w:val="center"/>
              <w:rPr/>
            </w:pPr>
            <w:r>
              <w:rPr>
                <w:b w:val="false"/>
                <w:bCs w:val="false"/>
                <w:i w:val="false"/>
                <w:iCs w:val="false"/>
                <w:strike w:val="false"/>
                <w:dstrike w:val="false"/>
                <w:outline w:val="false"/>
                <w:shadow w:val="false"/>
                <w:color w:val="000000"/>
                <w:sz w:val="22"/>
                <w:szCs w:val="22"/>
                <w:u w:val="none"/>
                <w:lang w:val="en-US"/>
              </w:rPr>
              <w:t>2,721</w:t>
            </w:r>
          </w:p>
        </w:tc>
      </w:tr>
    </w:tbl>
    <w:p>
      <w:pPr>
        <w:pStyle w:val="TextBody"/>
        <w:rPr/>
      </w:pPr>
      <w:r>
        <w:rPr/>
        <w:t>In order to assess whether or not there is an interaction between sex and the association under study we can compare the difference between the effects observed in each sex strata. The effect sizes for men (OR: 8.21, 95% CI: [4.73, 13.83], p&lt;0.001) were different to the effect of women (OR: 6.45, 95% CI: [3.17, 12.42], p&lt;0.001). For comparison, the relative difference between the effect of association on males and females is on the order of 27.4%, so we cannot rule out interaction between sex and the association in this study. It is recommended to report stratum-specific effects of association in this context.</w:t>
      </w:r>
    </w:p>
    <w:p>
      <w:pPr>
        <w:pStyle w:val="TextBody"/>
        <w:rPr/>
      </w:pPr>
      <w:bookmarkStart w:id="22" w:name="X37fe6bc176a3d26744aaf26b2062c0b9143ba64"/>
      <w:bookmarkStart w:id="23" w:name="results"/>
      <w:r>
        <w:rPr/>
        <w:t>In summary, there is evidence of interaction with sex. This means that, when they perceive high levels of leadership commitment, both men and women appear to show different levels of telework satisfaction when compared to the group that does not perceive such levels of commitment from their management. In this context it is recommended to report the estimates of effect for both sexes as the result of the analysis. This recommendation also accounts for confounding by sex.</w:t>
      </w:r>
      <w:bookmarkEnd w:id="22"/>
      <w:bookmarkEnd w:id="23"/>
    </w:p>
    <w:p>
      <w:pPr>
        <w:pStyle w:val="Heading1"/>
        <w:rPr/>
      </w:pPr>
      <w:bookmarkStart w:id="24" w:name="__RefHeading___Toc15232_2719319028"/>
      <w:bookmarkStart w:id="25" w:name="observations-and-limitations"/>
      <w:bookmarkEnd w:id="24"/>
      <w:r>
        <w:rPr/>
        <w:t>Observations and Limitations</w:t>
      </w:r>
      <w:bookmarkEnd w:id="25"/>
    </w:p>
    <w:p>
      <w:pPr>
        <w:pStyle w:val="Heading1"/>
        <w:rPr/>
      </w:pPr>
      <w:bookmarkStart w:id="26" w:name="__RefHeading___Toc15234_2719319028"/>
      <w:bookmarkEnd w:id="26"/>
      <w:r>
        <w:rPr/>
        <w:t>Conclusions</w:t>
      </w:r>
    </w:p>
    <w:p>
      <w:pPr>
        <w:pStyle w:val="FirstParagraph"/>
        <w:rPr/>
      </w:pPr>
      <w:r>
        <w:rPr/>
        <w:t>One third of NASA employees in this study are women. Both men and women tended to derive similar rates of satisfaction at the workplace in 2020.</w:t>
      </w:r>
    </w:p>
    <w:p>
      <w:pPr>
        <w:pStyle w:val="TextBody"/>
        <w:rPr/>
      </w:pPr>
      <w:bookmarkStart w:id="27" w:name="conclusions"/>
      <w:r>
        <w:rPr/>
        <w:t>There is a positive association between leadership commitment and telework satisfaction where employees that perceive high levels of commitment they derive more satisfaction at the workplace in a telework environment, when compared with employees that do not perceive high leadership commitment. Men who are subject to high levels of commitment derive 8 times as much satisfaction at the workplace in a telework environment, when compared to men under less committed leadership. Similarly, women under highly committed leadership derive 6 times as much satisfaction at the workplace in a telework environment, when compared to women under less committed leadership.</w:t>
      </w:r>
      <w:bookmarkEnd w:id="27"/>
    </w:p>
    <w:p>
      <w:pPr>
        <w:pStyle w:val="Heading1"/>
        <w:rPr/>
      </w:pPr>
      <w:bookmarkStart w:id="28" w:name="__RefHeading___Toc15236_2719319028"/>
      <w:bookmarkStart w:id="29" w:name="references"/>
      <w:bookmarkEnd w:id="28"/>
      <w:r>
        <w:rPr/>
        <w:t>References</w:t>
      </w:r>
    </w:p>
    <w:p>
      <w:pPr>
        <w:pStyle w:val="Compact"/>
        <w:numPr>
          <w:ilvl w:val="0"/>
          <w:numId w:val="2"/>
        </w:numPr>
        <w:rPr/>
      </w:pPr>
      <w:r>
        <w:rPr>
          <w:b/>
          <w:bCs/>
        </w:rPr>
        <w:t>SAP-2022-010-GJ-v01</w:t>
      </w:r>
      <w:r>
        <w:rPr/>
        <w:t xml:space="preserve"> – Analytical Plan for Association between leadership commitment and telework satisfaction at NASA (2020): unweighted sex-adjusted stratified analysis</w:t>
      </w:r>
      <w:bookmarkEnd w:id="29"/>
    </w:p>
    <w:p>
      <w:pPr>
        <w:pStyle w:val="Heading1"/>
        <w:rPr/>
      </w:pPr>
      <w:bookmarkStart w:id="30" w:name="__RefHeading___Toc15238_2719319028"/>
      <w:bookmarkStart w:id="31" w:name="appendix"/>
      <w:bookmarkEnd w:id="30"/>
      <w:bookmarkEnd w:id="31"/>
      <w:r>
        <w:rPr/>
        <w:t>Appendix</w:t>
      </w:r>
    </w:p>
    <w:p>
      <w:pPr>
        <w:pStyle w:val="Heading2"/>
        <w:rPr/>
      </w:pPr>
      <w:bookmarkStart w:id="32" w:name="__RefHeading___Toc15240_2719319028"/>
      <w:bookmarkStart w:id="33" w:name="exploratory-data-analysis"/>
      <w:bookmarkEnd w:id="32"/>
      <w:r>
        <w:rPr/>
        <w:t>Exploratory data analysis</w:t>
      </w:r>
    </w:p>
    <w:p>
      <w:pPr>
        <w:pStyle w:val="CaptionedFigure"/>
        <w:rPr/>
      </w:pPr>
      <w:r>
        <w:rPr/>
        <w:drawing>
          <wp:inline distT="0" distB="0" distL="0" distR="0">
            <wp:extent cx="4333240" cy="4333240"/>
            <wp:effectExtent l="0" t="0" r="0" b="0"/>
            <wp:docPr id="4" name="Image1" descr="Figure A1 Raw survey responses, by se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descr="Figure A1 Raw survey responses, by sex."/>
                    <pic:cNvPicPr>
                      <a:picLocks noChangeAspect="1" noChangeArrowheads="1"/>
                    </pic:cNvPicPr>
                  </pic:nvPicPr>
                  <pic:blipFill>
                    <a:blip r:embed="rId3"/>
                    <a:stretch>
                      <a:fillRect/>
                    </a:stretch>
                  </pic:blipFill>
                  <pic:spPr bwMode="auto">
                    <a:xfrm>
                      <a:off x="0" y="0"/>
                      <a:ext cx="4333240" cy="4333240"/>
                    </a:xfrm>
                    <a:prstGeom prst="rect">
                      <a:avLst/>
                    </a:prstGeom>
                  </pic:spPr>
                </pic:pic>
              </a:graphicData>
            </a:graphic>
          </wp:inline>
        </w:drawing>
      </w:r>
    </w:p>
    <w:p>
      <w:pPr>
        <w:pStyle w:val="ImageCaption"/>
        <w:rPr/>
      </w:pPr>
      <w:r>
        <w:rPr>
          <w:b/>
          <w:bCs/>
        </w:rPr>
        <w:t>Figure A1</w:t>
      </w:r>
      <w:r>
        <w:rPr/>
        <w:t xml:space="preserve"> Raw survey responses, by sex.</w:t>
      </w:r>
      <w:bookmarkEnd w:id="33"/>
    </w:p>
    <w:p>
      <w:pPr>
        <w:pStyle w:val="Heading2"/>
        <w:rPr/>
      </w:pPr>
      <w:bookmarkStart w:id="34" w:name="__RefHeading___Toc15242_2719319028"/>
      <w:bookmarkEnd w:id="34"/>
      <w:r>
        <w:rPr/>
        <w:t>Availability</w:t>
      </w:r>
    </w:p>
    <w:p>
      <w:pPr>
        <w:pStyle w:val="FirstParagraph"/>
        <w:rPr/>
      </w:pPr>
      <w:r>
        <w:rPr/>
        <w:t>Both this document and the corresponding analytical plan (</w:t>
      </w:r>
      <w:r>
        <w:rPr>
          <w:b/>
          <w:bCs/>
        </w:rPr>
        <w:t>SAP-2022-010-GJ-v01</w:t>
      </w:r>
      <w:r>
        <w:rPr/>
        <w:t>) can be downloaded in the following address:</w:t>
      </w:r>
    </w:p>
    <w:p>
      <w:pPr>
        <w:pStyle w:val="TextBody"/>
        <w:rPr/>
      </w:pPr>
      <w:hyperlink r:id="rId4">
        <w:bookmarkStart w:id="35" w:name="availability"/>
        <w:r>
          <w:rPr>
            <w:rStyle w:val="InternetLink"/>
          </w:rPr>
          <w:t>https://philsf-biostat.github.io/SAR-2022-010-GJ/</w:t>
        </w:r>
      </w:hyperlink>
      <w:bookmarkEnd w:id="35"/>
    </w:p>
    <w:p>
      <w:pPr>
        <w:pStyle w:val="Heading2"/>
        <w:rPr/>
      </w:pPr>
      <w:bookmarkStart w:id="36" w:name="__RefHeading___Toc15244_2719319028"/>
      <w:bookmarkStart w:id="37" w:name="analytical-dataset"/>
      <w:bookmarkEnd w:id="36"/>
      <w:bookmarkEnd w:id="37"/>
      <w:r>
        <w:rPr/>
        <w:t>Analytical dataset</w:t>
      </w:r>
    </w:p>
    <w:p>
      <w:pPr>
        <w:pStyle w:val="FirstParagraph"/>
        <w:rPr/>
      </w:pPr>
      <w:r>
        <w:rPr/>
        <w:t>Due to confidentiality the data-set used in this analysis cannot be shared online in the public version of this report.</w:t>
      </w:r>
    </w:p>
    <w:p>
      <w:pPr>
        <w:pStyle w:val="TableCaption"/>
        <w:rPr/>
      </w:pPr>
      <w:r>
        <w:rPr>
          <w:b/>
          <w:bCs/>
        </w:rPr>
        <w:t>Table A1</w:t>
      </w:r>
      <w:r>
        <w:rPr/>
        <w:t xml:space="preserve"> Analytical dataset structure</w:t>
      </w:r>
    </w:p>
    <w:tbl>
      <w:tblPr>
        <w:tblStyle w:val="Table"/>
        <w:tblW w:w="7920" w:type="dxa"/>
        <w:jc w:val="left"/>
        <w:tblInd w:w="-53" w:type="dxa"/>
        <w:tblLayout w:type="fixed"/>
        <w:tblCellMar>
          <w:top w:w="55" w:type="dxa"/>
          <w:left w:w="55" w:type="dxa"/>
          <w:bottom w:w="55" w:type="dxa"/>
          <w:right w:w="55" w:type="dxa"/>
        </w:tblCellMar>
        <w:tblLook w:val="0020" w:noHBand="0" w:noVBand="0" w:firstColumn="0" w:lastRow="0" w:lastColumn="0" w:firstRow="1"/>
      </w:tblPr>
      <w:tblGrid>
        <w:gridCol w:w="1320"/>
        <w:gridCol w:w="1319"/>
        <w:gridCol w:w="1321"/>
        <w:gridCol w:w="1321"/>
        <w:gridCol w:w="1318"/>
        <w:gridCol w:w="1320"/>
      </w:tblGrid>
      <w:tr>
        <w:trPr/>
        <w:tc>
          <w:tcPr>
            <w:tcW w:w="1320"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id</w:t>
            </w:r>
          </w:p>
        </w:tc>
        <w:tc>
          <w:tcPr>
            <w:tcW w:w="1319"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dsex</w:t>
            </w:r>
          </w:p>
        </w:tc>
        <w:tc>
          <w:tcPr>
            <w:tcW w:w="132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dv</w:t>
            </w:r>
          </w:p>
        </w:tc>
        <w:tc>
          <w:tcPr>
            <w:tcW w:w="1321"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iv</w:t>
            </w:r>
          </w:p>
        </w:tc>
        <w:tc>
          <w:tcPr>
            <w:tcW w:w="1318" w:type="dxa"/>
            <w:tcBorders>
              <w:top w:val="single" w:sz="4" w:space="0" w:color="000000"/>
              <w:left w:val="single" w:sz="4" w:space="0" w:color="000000"/>
              <w:bottom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dv2</w:t>
            </w:r>
          </w:p>
        </w:tc>
        <w:tc>
          <w:tcPr>
            <w:tcW w:w="1320" w:type="dxa"/>
            <w:tcBorders>
              <w:top w:val="single" w:sz="4" w:space="0" w:color="000000"/>
              <w:left w:val="single" w:sz="4" w:space="0" w:color="000000"/>
              <w:bottom w:val="single" w:sz="4" w:space="0" w:color="000000"/>
              <w:right w:val="single" w:sz="4" w:space="0" w:color="000000"/>
            </w:tcBorders>
            <w:shd w:fill="B2B2B2" w:val="clear"/>
            <w:vAlign w:val="center"/>
          </w:tcPr>
          <w:p>
            <w:pPr>
              <w:pStyle w:val="Compact"/>
              <w:widowControl w:val="false"/>
              <w:jc w:val="center"/>
              <w:rPr>
                <w:rFonts w:ascii="Ubuntu" w:hAnsi="Ubuntu"/>
                <w:b/>
                <w:b/>
                <w:bCs/>
                <w:i w:val="false"/>
                <w:i w:val="false"/>
                <w:iCs w:val="false"/>
                <w:strike w:val="false"/>
                <w:dstrike w:val="false"/>
                <w:outline w:val="false"/>
                <w:shadow w:val="false"/>
                <w:color w:val="000000"/>
                <w:sz w:val="22"/>
                <w:szCs w:val="22"/>
                <w:u w:val="none"/>
              </w:rPr>
            </w:pPr>
            <w:r>
              <w:rPr>
                <w:b/>
                <w:bCs/>
                <w:i w:val="false"/>
                <w:iCs w:val="false"/>
                <w:strike w:val="false"/>
                <w:dstrike w:val="false"/>
                <w:outline w:val="false"/>
                <w:shadow w:val="false"/>
                <w:color w:val="000000"/>
                <w:sz w:val="22"/>
                <w:szCs w:val="22"/>
                <w:u w:val="none"/>
              </w:rPr>
              <w:t>iv2</w:t>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1</w:t>
            </w:r>
          </w:p>
        </w:tc>
        <w:tc>
          <w:tcPr>
            <w:tcW w:w="131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2</w:t>
            </w:r>
          </w:p>
        </w:tc>
        <w:tc>
          <w:tcPr>
            <w:tcW w:w="131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3</w:t>
            </w:r>
          </w:p>
        </w:tc>
        <w:tc>
          <w:tcPr>
            <w:tcW w:w="131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w:t>
            </w:r>
          </w:p>
        </w:tc>
        <w:tc>
          <w:tcPr>
            <w:tcW w:w="131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r>
      <w:tr>
        <w:trPr/>
        <w:tc>
          <w:tcPr>
            <w:tcW w:w="1320"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t>N</w:t>
            </w:r>
          </w:p>
        </w:tc>
        <w:tc>
          <w:tcPr>
            <w:tcW w:w="1319"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21"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18" w:type="dxa"/>
            <w:tcBorders>
              <w:left w:val="single" w:sz="4" w:space="0" w:color="000000"/>
              <w:bottom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20" w:type="dxa"/>
            <w:tcBorders>
              <w:left w:val="single" w:sz="4" w:space="0" w:color="000000"/>
              <w:bottom w:val="single" w:sz="4" w:space="0" w:color="000000"/>
              <w:right w:val="single" w:sz="4" w:space="0" w:color="000000"/>
            </w:tcBorders>
            <w:vAlign w:val="center"/>
          </w:tcPr>
          <w:p>
            <w:pPr>
              <w:pStyle w:val="Compact"/>
              <w:widowControl w:val="false"/>
              <w:jc w:val="center"/>
              <w:rPr>
                <w:rFonts w:ascii="Ubuntu" w:hAnsi="Ubuntu"/>
                <w:b w:val="false"/>
                <w:b w:val="false"/>
                <w:bCs w:val="false"/>
                <w:i w:val="false"/>
                <w:i w:val="false"/>
                <w:iCs w:val="false"/>
                <w:strike w:val="false"/>
                <w:dstrike w:val="false"/>
                <w:outline w:val="false"/>
                <w:shadow w:val="false"/>
                <w:color w:val="000000"/>
                <w:sz w:val="22"/>
                <w:szCs w:val="22"/>
                <w:u w:val="none"/>
              </w:rPr>
            </w:pPr>
            <w:r>
              <w:rPr/>
            </w:r>
            <w:bookmarkStart w:id="38" w:name="analytical-dataset1"/>
            <w:bookmarkStart w:id="39" w:name="analytical-dataset1"/>
            <w:bookmarkEnd w:id="39"/>
          </w:p>
        </w:tc>
      </w:tr>
    </w:tbl>
    <w:sectPr>
      <w:headerReference w:type="default" r:id="rId5"/>
      <w:footerReference w:type="default" r:id="rId6"/>
      <w:type w:val="nextPage"/>
      <w:pgSz w:w="11906" w:h="16838"/>
      <w:pgMar w:left="1134" w:right="1134" w:gutter="0" w:header="567" w:top="1758" w:footer="567" w:bottom="1758"/>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auto"/>
    <w:pitch w:val="default"/>
  </w:font>
  <w:font w:name="Ubuntu">
    <w:charset w:val="01"/>
    <w:family w:val="auto"/>
    <w:pitch w:val="default"/>
  </w:font>
  <w:font w:name="Consolas">
    <w:charset w:val="01"/>
    <w:family w:val="auto"/>
    <w:pitch w:val="default"/>
  </w:font>
  <w:font w:name="Liberation Sans">
    <w:altName w:val="Arial"/>
    <w:charset w:val="01"/>
    <w:family w:val="auto"/>
    <w:pitch w:val="default"/>
  </w:font>
  <w:font w:name="Ubuntu Mono">
    <w:charset w:val="01"/>
    <w:family w:val="auto"/>
    <w:pitch w:val="default"/>
  </w:font>
  <w:font w:name="Arial">
    <w:charset w:val="01"/>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CabealhoeRodap"/>
      <w:rPr>
        <w:lang w:val="pt-BR" w:eastAsia="en-US" w:bidi="ar-SA"/>
      </w:rPr>
    </w:pPr>
    <w:r>
      <w:rPr>
        <w:lang w:val="pt-BR" w:eastAsia="en-US" w:bidi="ar-SA"/>
      </w:rPr>
    </w:r>
  </w:p>
  <w:p>
    <w:pPr>
      <w:pStyle w:val="Normal"/>
      <w:rPr>
        <w:lang w:val="pt-BR" w:eastAsia="en-US" w:bidi="ar-SA"/>
      </w:rPr>
    </w:pPr>
    <w:r>
      <w:rPr/>
      <mc:AlternateContent>
        <mc:Choice Requires="wps">
          <w:drawing>
            <wp:inline distT="0" distB="0" distL="0" distR="0">
              <wp:extent cx="6136005" cy="34925"/>
              <wp:effectExtent l="0" t="0" r="0" b="0"/>
              <wp:docPr id="7" name="Shape5"/>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5"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tbl>
    <w:tblPr>
      <w:tblW w:w="9621" w:type="dxa"/>
      <w:jc w:val="center"/>
      <w:tblInd w:w="0" w:type="dxa"/>
      <w:tblLayout w:type="fixed"/>
      <w:tblCellMar>
        <w:top w:w="55" w:type="dxa"/>
        <w:left w:w="55" w:type="dxa"/>
        <w:bottom w:w="55" w:type="dxa"/>
        <w:right w:w="55" w:type="dxa"/>
      </w:tblCellMar>
    </w:tblPr>
    <w:tblGrid>
      <w:gridCol w:w="4540"/>
      <w:gridCol w:w="198"/>
      <w:gridCol w:w="1633"/>
      <w:gridCol w:w="194"/>
      <w:gridCol w:w="974"/>
      <w:gridCol w:w="201"/>
      <w:gridCol w:w="638"/>
      <w:gridCol w:w="183"/>
      <w:gridCol w:w="1059"/>
    </w:tblGrid>
    <w:tr>
      <w:trPr/>
      <w:tc>
        <w:tcPr>
          <w:tcW w:w="4540" w:type="dxa"/>
          <w:tcBorders/>
          <w:vAlign w:val="center"/>
        </w:tcPr>
        <w:p>
          <w:pPr>
            <w:pStyle w:val="CabealhoeRodap"/>
            <w:widowControl w:val="false"/>
            <w:spacing w:before="57" w:after="85"/>
            <w:ind w:left="0" w:right="0" w:hanging="0"/>
            <w:jc w:val="center"/>
            <w:rPr>
              <w:rFonts w:ascii="Ubuntu" w:hAnsi="Ubuntu" w:eastAsia="Cambria" w:cs="" w:cstheme="minorBidi" w:eastAsiaTheme="minorHAnsi"/>
              <w:b/>
              <w:b/>
              <w:bCs/>
              <w:color w:val="auto"/>
              <w:kern w:val="0"/>
              <w:sz w:val="18"/>
              <w:szCs w:val="18"/>
              <w:lang w:val="pt-BR" w:eastAsia="en-US" w:bidi="ar-SA"/>
            </w:rPr>
          </w:pPr>
          <w:r>
            <w:rPr>
              <w:rFonts w:eastAsia="Cambria" w:cs="" w:cstheme="minorBidi" w:eastAsiaTheme="minorHAnsi"/>
              <w:b/>
              <w:bCs/>
              <w:color w:val="auto"/>
              <w:kern w:val="0"/>
              <w:sz w:val="18"/>
              <w:szCs w:val="18"/>
              <w:lang w:val="pt-BR" w:eastAsia="en-US" w:bidi="ar-SA"/>
            </w:rPr>
            <w:t>FF Consultoria em Bioestatística e Epidemiologia</w:t>
          </w:r>
        </w:p>
        <w:p>
          <w:pPr>
            <w:pStyle w:val="CabealhoeRodap"/>
            <w:widowControl w:val="false"/>
            <w:spacing w:before="57" w:after="85"/>
            <w:ind w:left="0" w:right="0" w:hanging="0"/>
            <w:jc w:val="center"/>
            <w:rPr>
              <w:rFonts w:ascii="Ubuntu" w:hAnsi="Ubuntu" w:eastAsia="Cambria" w:cs="" w:cstheme="minorBidi" w:eastAsiaTheme="minorHAnsi"/>
              <w:color w:val="auto"/>
              <w:kern w:val="0"/>
              <w:sz w:val="20"/>
              <w:szCs w:val="24"/>
              <w:lang w:val="pt-BR" w:eastAsia="en-US" w:bidi="ar-SA"/>
            </w:rPr>
          </w:pPr>
          <w:r>
            <w:rPr>
              <w:rFonts w:eastAsia="Cambria" w:cs="" w:cstheme="minorBidi" w:eastAsiaTheme="minorHAnsi"/>
              <w:b w:val="false"/>
              <w:bCs w:val="false"/>
              <w:color w:val="auto"/>
              <w:kern w:val="0"/>
              <w:sz w:val="20"/>
              <w:szCs w:val="24"/>
              <w:lang w:val="pt-BR" w:eastAsia="en-US" w:bidi="ar-SA"/>
            </w:rPr>
            <w:t>CNPJ: 42.154.074/0001-22</w:t>
          </w:r>
        </w:p>
        <w:p>
          <w:pPr>
            <w:pStyle w:val="Textoprformatado"/>
            <w:widowControl w:val="false"/>
            <w:jc w:val="center"/>
            <w:rPr/>
          </w:pPr>
          <w:hyperlink r:id="rId1">
            <w:r>
              <w:rPr>
                <w:rStyle w:val="LinkdaInternet"/>
                <w:color w:val="345A8A"/>
                <w:lang w:val="pt-BR" w:eastAsia="en-US" w:bidi="ar-SA"/>
              </w:rPr>
              <w:t>https://philsf-biostat.github.io/</w:t>
            </w:r>
          </w:hyperlink>
        </w:p>
      </w:tc>
      <w:tc>
        <w:tcPr>
          <w:tcW w:w="198" w:type="dxa"/>
          <w:tcBorders/>
          <w:vAlign w:val="center"/>
        </w:tcPr>
        <w:p>
          <w:pPr>
            <w:pStyle w:val="CabealhoeRodap"/>
            <w:widowControl w:val="false"/>
            <w:jc w:val="center"/>
            <w:rPr>
              <w:lang w:val="en-US" w:eastAsia="en-US" w:bidi="ar-SA"/>
            </w:rPr>
          </w:pPr>
          <w:r>
            <w:rPr>
              <w:lang w:val="en-US" w:eastAsia="en-US" w:bidi="ar-SA"/>
            </w:rPr>
          </w:r>
        </w:p>
      </w:tc>
      <w:tc>
        <w:tcPr>
          <w:tcW w:w="1633" w:type="dxa"/>
          <w:tcBorders/>
          <w:vAlign w:val="center"/>
        </w:tcPr>
        <w:p>
          <w:pPr>
            <w:pStyle w:val="Textoprformatado"/>
            <w:widowControl w:val="false"/>
            <w:jc w:val="center"/>
            <w:rPr>
              <w:b/>
              <w:b/>
              <w:bCs/>
              <w:lang w:val="en-US" w:eastAsia="en-US" w:bidi="ar-SA"/>
            </w:rPr>
          </w:pPr>
          <w:r>
            <w:rPr>
              <w:b/>
              <w:bCs/>
              <w:lang w:val="en-US" w:eastAsia="en-US" w:bidi="ar-SA"/>
            </w:rPr>
            <w:t>SA</w:t>
          </w:r>
          <w:r>
            <w:rPr>
              <w:rFonts w:eastAsia="Liberation Mono" w:cs="Liberation Mono"/>
              <w:b/>
              <w:bCs/>
              <w:color w:val="auto"/>
              <w:kern w:val="0"/>
              <w:sz w:val="24"/>
              <w:szCs w:val="20"/>
              <w:lang w:val="en-US" w:eastAsia="en-US" w:bidi="ar-SA"/>
            </w:rPr>
            <w:t>R</w:t>
          </w:r>
        </w:p>
      </w:tc>
      <w:tc>
        <w:tcPr>
          <w:tcW w:w="194" w:type="dxa"/>
          <w:tcBorders/>
          <w:vAlign w:val="center"/>
        </w:tcPr>
        <w:p>
          <w:pPr>
            <w:pStyle w:val="CabealhoeRodap"/>
            <w:widowControl w:val="false"/>
            <w:jc w:val="center"/>
            <w:rPr>
              <w:rFonts w:ascii="Arial" w:hAnsi="Arial" w:eastAsia="Cambria" w:cs="" w:cstheme="minorBidi" w:eastAsiaTheme="minorHAnsi"/>
              <w:b/>
              <w:b/>
              <w:bCs/>
              <w:color w:val="auto"/>
              <w:kern w:val="0"/>
              <w:sz w:val="20"/>
              <w:szCs w:val="24"/>
              <w:lang w:val="en-US" w:eastAsia="en-US" w:bidi="ar-SA"/>
            </w:rPr>
          </w:pPr>
          <w:r>
            <w:rPr>
              <w:rFonts w:eastAsia="Cambria" w:cs="" w:cstheme="minorBidi" w:eastAsiaTheme="minorHAnsi" w:ascii="Arial" w:hAnsi="Arial"/>
              <w:b/>
              <w:bCs/>
              <w:color w:val="auto"/>
              <w:kern w:val="0"/>
              <w:sz w:val="20"/>
              <w:szCs w:val="24"/>
              <w:lang w:val="en-US" w:eastAsia="en-US" w:bidi="ar-SA"/>
            </w:rPr>
          </w:r>
        </w:p>
      </w:tc>
      <w:tc>
        <w:tcPr>
          <w:tcW w:w="974"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Version</w:t>
          </w:r>
        </w:p>
        <w:p>
          <w:pPr>
            <w:pStyle w:val="CabealhoeRodap"/>
            <w:widowControl w:val="false"/>
            <w:jc w:val="center"/>
            <w:rPr>
              <w:rFonts w:ascii="Arial" w:hAnsi="Arial" w:eastAsia="Cambria" w:cs="" w:cstheme="minorBidi" w:eastAsiaTheme="minorHAnsi"/>
              <w:b w:val="false"/>
              <w:b w:val="false"/>
              <w:bCs w:val="false"/>
              <w:color w:val="auto"/>
              <w:kern w:val="0"/>
              <w:sz w:val="20"/>
              <w:szCs w:val="24"/>
              <w:lang w:val="en-US" w:eastAsia="en-US" w:bidi="ar-SA"/>
            </w:rPr>
          </w:pPr>
          <w:r>
            <w:rPr>
              <w:rFonts w:eastAsia="Cambria" w:cs="" w:cstheme="minorBidi" w:eastAsiaTheme="minorHAnsi" w:ascii="Arial" w:hAnsi="Arial"/>
              <w:b w:val="false"/>
              <w:bCs w:val="false"/>
              <w:color w:val="auto"/>
              <w:kern w:val="0"/>
              <w:sz w:val="20"/>
              <w:szCs w:val="24"/>
              <w:lang w:val="en-US" w:eastAsia="en-US" w:bidi="ar-SA"/>
            </w:rPr>
          </w:r>
        </w:p>
        <w:p>
          <w:pPr>
            <w:pStyle w:val="Textoprformatado"/>
            <w:widowControl w:val="false"/>
            <w:jc w:val="center"/>
            <w:rPr>
              <w:lang w:val="en-US" w:eastAsia="en-US" w:bidi="ar-SA"/>
            </w:rPr>
          </w:pPr>
          <w:r>
            <w:rPr>
              <w:lang w:val="en-US" w:eastAsia="en-US" w:bidi="ar-SA"/>
            </w:rPr>
            <w:t>1</w:t>
          </w:r>
        </w:p>
      </w:tc>
      <w:tc>
        <w:tcPr>
          <w:tcW w:w="201" w:type="dxa"/>
          <w:tcBorders/>
          <w:vAlign w:val="center"/>
        </w:tcPr>
        <w:p>
          <w:pPr>
            <w:pStyle w:val="CabealhoeRodap"/>
            <w:widowControl w:val="false"/>
            <w:jc w:val="center"/>
            <w:rPr>
              <w:lang w:val="en-US" w:eastAsia="en-US" w:bidi="ar-SA"/>
            </w:rPr>
          </w:pPr>
          <w:r>
            <w:rPr>
              <w:lang w:val="en-US" w:eastAsia="en-US" w:bidi="ar-SA"/>
            </w:rPr>
          </w:r>
        </w:p>
      </w:tc>
      <w:tc>
        <w:tcPr>
          <w:tcW w:w="638"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Year</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fldChar w:fldCharType="begin"/>
          </w:r>
          <w:r>
            <w:rPr/>
            <w:instrText xml:space="preserve"> DATE \@"yyyy" </w:instrText>
          </w:r>
          <w:r>
            <w:rPr/>
            <w:fldChar w:fldCharType="separate"/>
          </w:r>
          <w:r>
            <w:rPr/>
            <w:t>2022</w:t>
          </w:r>
          <w:r>
            <w:rPr/>
            <w:fldChar w:fldCharType="end"/>
          </w:r>
        </w:p>
      </w:tc>
      <w:tc>
        <w:tcPr>
          <w:tcW w:w="183" w:type="dxa"/>
          <w:tcBorders/>
          <w:vAlign w:val="center"/>
        </w:tcPr>
        <w:p>
          <w:pPr>
            <w:pStyle w:val="CabealhoeRodap"/>
            <w:widowControl w:val="false"/>
            <w:jc w:val="center"/>
            <w:rPr>
              <w:b/>
              <w:b/>
              <w:bCs/>
              <w:lang w:val="en-US" w:eastAsia="en-US" w:bidi="ar-SA"/>
            </w:rPr>
          </w:pPr>
          <w:r>
            <w:rPr>
              <w:b/>
              <w:bCs/>
              <w:lang w:val="en-US" w:eastAsia="en-US" w:bidi="ar-SA"/>
            </w:rPr>
          </w:r>
        </w:p>
      </w:tc>
      <w:tc>
        <w:tcPr>
          <w:tcW w:w="1059" w:type="dxa"/>
          <w:tcBorders/>
          <w:vAlign w:val="center"/>
        </w:tcPr>
        <w:p>
          <w:pPr>
            <w:pStyle w:val="CabealhoeRodap"/>
            <w:widowControl w:val="false"/>
            <w:jc w:val="center"/>
            <w:rPr>
              <w:rFonts w:eastAsia="Cambria" w:cs=""/>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Page</w:t>
          </w:r>
        </w:p>
        <w:p>
          <w:pPr>
            <w:pStyle w:val="CabealhoeRodap"/>
            <w:widowControl w:val="false"/>
            <w:jc w:val="center"/>
            <w:rPr>
              <w:lang w:val="en-US" w:eastAsia="en-US" w:bidi="ar-SA"/>
            </w:rPr>
          </w:pPr>
          <w:r>
            <w:rPr>
              <w:lang w:val="en-US" w:eastAsia="en-US" w:bidi="ar-SA"/>
            </w:rPr>
          </w:r>
        </w:p>
        <w:p>
          <w:pPr>
            <w:pStyle w:val="Textoprformatado"/>
            <w:widowControl w:val="false"/>
            <w:jc w:val="center"/>
            <w:rPr>
              <w:lang w:val="en-US" w:eastAsia="en-US" w:bidi="ar-SA"/>
            </w:rPr>
          </w:pPr>
          <w:r>
            <w:rPr>
              <w:lang w:val="en-US" w:eastAsia="en-US" w:bidi="ar-SA"/>
            </w:rPr>
            <w:fldChar w:fldCharType="begin"/>
          </w:r>
          <w:r>
            <w:rPr>
              <w:lang w:val="en-US" w:eastAsia="en-US" w:bidi="ar-SA"/>
            </w:rPr>
            <w:instrText xml:space="preserve"> PAGE </w:instrText>
          </w:r>
          <w:r>
            <w:rPr>
              <w:lang w:val="en-US" w:eastAsia="en-US" w:bidi="ar-SA"/>
            </w:rPr>
            <w:fldChar w:fldCharType="separate"/>
          </w:r>
          <w:r>
            <w:rPr>
              <w:lang w:val="en-US" w:eastAsia="en-US" w:bidi="ar-SA"/>
            </w:rPr>
            <w:t>8</w:t>
          </w:r>
          <w:r>
            <w:rPr>
              <w:lang w:val="en-US" w:eastAsia="en-US" w:bidi="ar-SA"/>
            </w:rPr>
            <w:fldChar w:fldCharType="end"/>
          </w:r>
          <w:r>
            <w:rPr>
              <w:lang w:val="en-US" w:eastAsia="en-US" w:bidi="ar-SA"/>
            </w:rPr>
            <w:t xml:space="preserve"> </w:t>
          </w:r>
          <w:r>
            <w:rPr>
              <w:lang w:val="en-US" w:eastAsia="en-US" w:bidi="ar-SA"/>
            </w:rPr>
            <w:t xml:space="preserve">/ </w:t>
          </w:r>
          <w:r>
            <w:rPr>
              <w:lang w:val="en-US" w:eastAsia="en-US" w:bidi="ar-SA"/>
            </w:rPr>
            <w:fldChar w:fldCharType="begin"/>
          </w:r>
          <w:r>
            <w:rPr>
              <w:lang w:val="en-US" w:eastAsia="en-US" w:bidi="ar-SA"/>
            </w:rPr>
            <w:instrText xml:space="preserve"> NUMPAGES </w:instrText>
          </w:r>
          <w:r>
            <w:rPr>
              <w:lang w:val="en-US" w:eastAsia="en-US" w:bidi="ar-SA"/>
            </w:rPr>
            <w:fldChar w:fldCharType="separate"/>
          </w:r>
          <w:r>
            <w:rPr>
              <w:lang w:val="en-US" w:eastAsia="en-US" w:bidi="ar-SA"/>
            </w:rPr>
            <w:t>8</w:t>
          </w:r>
          <w:r>
            <w:rPr>
              <w:lang w:val="en-US" w:eastAsia="en-US" w:bidi="ar-SA"/>
            </w:rPr>
            <w:fldChar w:fldCharType="end"/>
          </w:r>
        </w:p>
      </w:tc>
    </w:tr>
  </w:tbl>
  <w:p>
    <w:pPr>
      <w:pStyle w:val="Normal"/>
      <w:spacing w:before="0" w:after="200"/>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638" w:type="dxa"/>
      <w:jc w:val="center"/>
      <w:tblInd w:w="0" w:type="dxa"/>
      <w:tblLayout w:type="fixed"/>
      <w:tblCellMar>
        <w:top w:w="0" w:type="dxa"/>
        <w:left w:w="0" w:type="dxa"/>
        <w:bottom w:w="0" w:type="dxa"/>
        <w:right w:w="0" w:type="dxa"/>
      </w:tblCellMar>
    </w:tblPr>
    <w:tblGrid>
      <w:gridCol w:w="9638"/>
    </w:tblGrid>
    <w:tr>
      <w:trPr/>
      <w:tc>
        <w:tcPr>
          <w:tcW w:w="9638" w:type="dxa"/>
          <w:tcBorders/>
          <w:vAlign w:val="center"/>
        </w:tcPr>
        <w:p>
          <w:pPr>
            <w:pStyle w:val="CabealhoeRodap"/>
            <w:widowControl w:val="false"/>
            <w:rPr>
              <w:rFonts w:ascii="Ubuntu" w:hAnsi="Ubuntu" w:eastAsia="Cambria" w:cs="" w:cstheme="minorBidi" w:eastAsiaTheme="minorHAnsi"/>
              <w:b/>
              <w:b/>
              <w:bCs/>
              <w:color w:val="auto"/>
              <w:kern w:val="0"/>
              <w:sz w:val="20"/>
              <w:szCs w:val="24"/>
              <w:lang w:val="en-US" w:eastAsia="en-US" w:bidi="ar-SA"/>
            </w:rPr>
          </w:pPr>
          <w:r>
            <w:rPr>
              <w:rFonts w:eastAsia="Cambria" w:cs="" w:cstheme="minorBidi" w:eastAsiaTheme="minorHAnsi"/>
              <w:b/>
              <w:bCs/>
              <w:color w:val="auto"/>
              <w:kern w:val="0"/>
              <w:sz w:val="20"/>
              <w:szCs w:val="24"/>
              <w:lang w:val="en-US" w:eastAsia="en-US" w:bidi="ar-SA"/>
            </w:rPr>
            <w:t>Consulting in Medical Statistics and Clinical Epidemiology</w:t>
          </w:r>
        </w:p>
      </w:tc>
    </w:tr>
    <w:tr>
      <w:trPr/>
      <w:tc>
        <w:tcPr>
          <w:tcW w:w="9638" w:type="dxa"/>
          <w:tcBorders/>
          <w:vAlign w:val="center"/>
        </w:tcPr>
        <w:p>
          <w:pPr>
            <w:pStyle w:val="CabealhoeRodap"/>
            <w:widowControl w:val="false"/>
            <w:rPr>
              <w:lang w:val="en-US" w:eastAsia="en-US" w:bidi="ar-SA"/>
            </w:rPr>
          </w:pPr>
          <w:r>
            <w:rPr>
              <w:lang w:val="en-US" w:eastAsia="en-US" w:bidi="ar-SA"/>
            </w:rPr>
          </w:r>
        </w:p>
      </w:tc>
    </w:tr>
    <w:tr>
      <w:trPr/>
      <w:tc>
        <w:tcPr>
          <w:tcW w:w="9638" w:type="dxa"/>
          <w:tcBorders/>
          <w:vAlign w:val="center"/>
        </w:tcPr>
        <w:p>
          <w:pPr>
            <w:pStyle w:val="CabealhoeRodap"/>
            <w:widowControl w:val="false"/>
            <w:rPr>
              <w:b/>
              <w:b/>
              <w:bCs/>
              <w:lang w:val="en-US" w:eastAsia="en-US" w:bidi="ar-SA"/>
            </w:rPr>
          </w:pPr>
          <w:r>
            <w:rPr>
              <w:rFonts w:eastAsia="Cambria" w:cs="" w:cstheme="minorBidi" w:eastAsiaTheme="minorHAnsi"/>
              <w:b/>
              <w:bCs/>
              <w:color w:val="auto"/>
              <w:kern w:val="0"/>
              <w:sz w:val="20"/>
              <w:szCs w:val="24"/>
              <w:lang w:val="en-US" w:eastAsia="en-US" w:bidi="ar-SA"/>
            </w:rPr>
            <w:t xml:space="preserve">Statistical Analysis Report </w:t>
          </w:r>
          <w:r>
            <w:rPr>
              <w:b/>
              <w:bCs/>
              <w:lang w:val="en-US" w:eastAsia="en-US" w:bidi="ar-SA"/>
            </w:rPr>
            <w:t>(SA</w:t>
          </w:r>
          <w:r>
            <w:rPr>
              <w:rFonts w:eastAsia="Cambria" w:cs="" w:cstheme="minorBidi" w:eastAsiaTheme="minorHAnsi"/>
              <w:b/>
              <w:bCs/>
              <w:color w:val="auto"/>
              <w:kern w:val="0"/>
              <w:sz w:val="20"/>
              <w:szCs w:val="24"/>
              <w:lang w:val="en-US" w:eastAsia="en-US" w:bidi="ar-SA"/>
            </w:rPr>
            <w:t>R</w:t>
          </w:r>
          <w:r>
            <w:rPr>
              <w:b/>
              <w:bCs/>
              <w:lang w:val="en-US" w:eastAsia="en-US" w:bidi="ar-SA"/>
            </w:rPr>
            <w:t>)</w:t>
          </w:r>
        </w:p>
      </w:tc>
    </w:tr>
  </w:tbl>
  <w:p>
    <w:pPr>
      <w:pStyle w:val="CabealhoeRodap"/>
      <w:rPr>
        <w:lang w:val="pt-BR" w:eastAsia="en-US" w:bidi="ar-SA"/>
      </w:rPr>
    </w:pPr>
    <w:r>
      <w:rPr>
        <w:lang w:val="pt-BR" w:eastAsia="en-US" w:bidi="ar-SA"/>
      </w:rPr>
    </w:r>
  </w:p>
  <w:p>
    <w:pPr>
      <w:pStyle w:val="Normal"/>
      <w:spacing w:before="0" w:after="200"/>
      <w:rPr>
        <w:lang w:val="pt-BR" w:eastAsia="en-US" w:bidi="ar-SA"/>
      </w:rPr>
    </w:pPr>
    <w:r>
      <w:rPr/>
      <w:pict>
        <v:shapetype id="_x0000_t136" coordsize="21600,21600" o:spt="136" adj="10800" path="m@9,l@10,em@11,21600l@12,21600e">
          <v:stroke joinstyle="miter"/>
          <v:formulas>
            <v:f eqn="val #0"/>
            <v:f eqn="sum @0 0 10800"/>
            <v:f eqn="sum @0 0 0"/>
            <v:f eqn="sum width 0 @0"/>
            <v:f eqn="prod @2 2 1"/>
            <v:f eqn="prod @3 2 1"/>
            <v:f eqn="if @1 @5 @4"/>
            <v:f eqn="sum 0 @6 0"/>
            <v:f eqn="sum width 0 @6"/>
            <v:f eqn="if @1 0 @8"/>
            <v:f eqn="if @1 @7 width"/>
            <v:f eqn="if @1 @8 0"/>
            <v:f eqn="if @1 width @7"/>
          </v:formulas>
          <v:handles>
            <v:h position="@0,21600"/>
          </v:handles>
        </v:shapetype>
        <v:shape id="PowerPlusWaterMarkObject" o:spid="shape_0" fillcolor="silver" stroked="f" o:allowincell="f" style="position:absolute;margin-left:7.75pt;margin-top:236.45pt;width:466.4pt;height:164.2pt;mso-wrap-style:none;v-text-anchor:middle;rotation:315;mso-position-horizontal:center;mso-position-horizontal-relative:margin;mso-position-vertical:center;mso-position-vertical-relative:margin" type="_x0000_t136">
          <v:path textpathok="t"/>
          <v:textpath on="t" fitshape="t" string="DRAFT" trim="t" style="font-family:&quot;Ubuntu&quot;;font-size:1pt"/>
          <v:fill o:detectmouseclick="t" type="solid" color2="#3f3f3f" opacity="0.5"/>
          <v:stroke color="#3465a4" joinstyle="round" endcap="flat"/>
          <w10:wrap type="none"/>
        </v:shape>
      </w:pict>
      <mc:AlternateContent>
        <mc:Choice Requires="wps">
          <w:drawing>
            <wp:inline distT="0" distB="0" distL="0" distR="0">
              <wp:extent cx="6136005" cy="34925"/>
              <wp:effectExtent l="0" t="0" r="0" b="0"/>
              <wp:docPr id="6" name="Shape4"/>
              <a:graphic xmlns:a="http://schemas.openxmlformats.org/drawingml/2006/main">
                <a:graphicData uri="http://schemas.microsoft.com/office/word/2010/wordprocessingShape">
                  <wps:wsp>
                    <wps:cNvSpPr/>
                    <wps:spPr>
                      <a:xfrm>
                        <a:off x="0" y="0"/>
                        <a:ext cx="6135840" cy="34920"/>
                      </a:xfrm>
                      <a:prstGeom prst="rect">
                        <a:avLst/>
                      </a:prstGeom>
                      <a:solidFill>
                        <a:srgbClr val="ffffff"/>
                      </a:solidFill>
                      <a:ln w="0">
                        <a:solidFill>
                          <a:srgbClr val="000000"/>
                        </a:solidFill>
                      </a:ln>
                    </wps:spPr>
                    <wps:style>
                      <a:lnRef idx="0"/>
                      <a:fillRef idx="0"/>
                      <a:effectRef idx="0"/>
                      <a:fontRef idx="minor"/>
                    </wps:style>
                    <wps:bodyPr/>
                  </wps:wsp>
                </a:graphicData>
              </a:graphic>
            </wp:inline>
          </w:drawing>
        </mc:Choice>
        <mc:Fallback>
          <w:pict>
            <v:rect id="shape_0" ID="Shape4" path="m0,0l-2147483645,0l-2147483645,-2147483646l0,-2147483646xe" fillcolor="white" stroked="t" o:allowincell="f" style="position:absolute;margin-left:0pt;margin-top:-2.8pt;width:483.1pt;height:2.7pt;mso-wrap-style:none;v-text-anchor:middle;mso-position-vertical:top">
              <v:fill o:detectmouseclick="t" type="solid" color2="black"/>
              <v:stroke color="black" joinstyle="round" endcap="flat"/>
              <w10:wrap type="square"/>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1 "/>
      <w:lvlJc w:val="left"/>
      <w:pPr>
        <w:tabs>
          <w:tab w:val="num" w:pos="0"/>
        </w:tabs>
        <w:ind w:left="0" w:hanging="0"/>
      </w:pPr>
      <w:rPr/>
    </w:lvl>
    <w:lvl w:ilvl="1">
      <w:start w:val="1"/>
      <w:pStyle w:val="Heading2"/>
      <w:numFmt w:val="decimal"/>
      <w:lvlText w:val=" %1.%2 "/>
      <w:lvlJc w:val="left"/>
      <w:pPr>
        <w:tabs>
          <w:tab w:val="num" w:pos="0"/>
        </w:tabs>
        <w:ind w:left="0" w:hanging="0"/>
      </w:pPr>
      <w:rPr/>
    </w:lvl>
    <w:lvl w:ilvl="2">
      <w:start w:val="1"/>
      <w:pStyle w:val="Heading3"/>
      <w:numFmt w:val="decimal"/>
      <w:lvlText w:val=" %1.%2.%3 "/>
      <w:lvlJc w:val="left"/>
      <w:pPr>
        <w:tabs>
          <w:tab w:val="num" w:pos="0"/>
        </w:tabs>
        <w:ind w:left="0" w:hanging="0"/>
      </w:pPr>
      <w:rPr/>
    </w:lvl>
    <w:lvl w:ilvl="3">
      <w:start w:val="1"/>
      <w:pStyle w:val="Heading4"/>
      <w:numFmt w:val="decimal"/>
      <w:lvlText w:val=" %1.%2.%3.%4 "/>
      <w:lvlJc w:val="left"/>
      <w:pPr>
        <w:tabs>
          <w:tab w:val="num" w:pos="0"/>
        </w:tabs>
        <w:ind w:left="0" w:hanging="0"/>
      </w:pPr>
      <w:rPr/>
    </w:lvl>
    <w:lvl w:ilvl="4">
      <w:start w:val="1"/>
      <w:pStyle w:val="Heading5"/>
      <w:numFmt w:val="decimal"/>
      <w:lvlText w:val=" %1.%2.%3.%4.%5 "/>
      <w:lvlJc w:val="left"/>
      <w:pPr>
        <w:tabs>
          <w:tab w:val="num" w:pos="0"/>
        </w:tabs>
        <w:ind w:left="0" w:hanging="0"/>
      </w:pPr>
      <w:rPr/>
    </w:lvl>
    <w:lvl w:ilvl="5">
      <w:start w:val="1"/>
      <w:pStyle w:val="Heading6"/>
      <w:numFmt w:val="decimal"/>
      <w:lvlText w:val=" %1.%2.%3.%4.%5.%6 "/>
      <w:lvlJc w:val="left"/>
      <w:pPr>
        <w:tabs>
          <w:tab w:val="num" w:pos="0"/>
        </w:tabs>
        <w:ind w:left="0" w:hanging="0"/>
      </w:pPr>
      <w:rPr/>
    </w:lvl>
    <w:lvl w:ilvl="6">
      <w:start w:val="1"/>
      <w:pStyle w:val="Heading7"/>
      <w:numFmt w:val="decimal"/>
      <w:lvlText w:val=" %1.%2.%3.%4.%5.%6.%7 "/>
      <w:lvlJc w:val="left"/>
      <w:pPr>
        <w:tabs>
          <w:tab w:val="num" w:pos="0"/>
        </w:tabs>
        <w:ind w:left="0" w:hanging="0"/>
      </w:pPr>
      <w:rPr/>
    </w:lvl>
    <w:lvl w:ilvl="7">
      <w:start w:val="1"/>
      <w:pStyle w:val="Heading8"/>
      <w:numFmt w:val="decimal"/>
      <w:lvlText w:val=" %1.%2.%3.%4.%5.%6.%7.%8 "/>
      <w:lvlJc w:val="left"/>
      <w:pPr>
        <w:tabs>
          <w:tab w:val="num" w:pos="0"/>
        </w:tabs>
        <w:ind w:left="0" w:hanging="0"/>
      </w:pPr>
      <w:rPr/>
    </w:lvl>
    <w:lvl w:ilvl="8">
      <w:start w:val="1"/>
      <w:pStyle w:val="Heading9"/>
      <w:numFmt w:val="decimal"/>
      <w:lvlText w:val=" %1.%2.%3.%4.%5.%6.%7.%8.%9 "/>
      <w:lvlJc w:val="left"/>
      <w:pPr>
        <w:tabs>
          <w:tab w:val="num" w:pos="0"/>
        </w:tabs>
        <w:ind w:left="0" w:hanging="0"/>
      </w:pPr>
      <w:rPr/>
    </w:lvl>
  </w:abstractNum>
  <w:abstractNum w:abstractNumId="2">
    <w:lvl w:ilvl="0">
      <w:numFmt w:val="bullet"/>
      <w:lvlText w:val=""/>
      <w:lvlJc w:val="left"/>
      <w:pPr>
        <w:tabs>
          <w:tab w:val="num" w:pos="0"/>
        </w:tabs>
        <w:ind w:left="720" w:hanging="480"/>
      </w:pPr>
      <w:rPr>
        <w:rFonts w:ascii="Symbol" w:hAnsi="Symbol" w:cs="Symbol" w:hint="default"/>
      </w:rPr>
    </w:lvl>
    <w:lvl w:ilvl="1">
      <w:start w:val="0"/>
      <w:numFmt w:val="bullet"/>
      <w:lvlText w:val=""/>
      <w:lvlJc w:val="left"/>
      <w:pPr>
        <w:tabs>
          <w:tab w:val="num" w:pos="0"/>
        </w:tabs>
        <w:ind w:left="1440" w:hanging="480"/>
      </w:pPr>
      <w:rPr>
        <w:rFonts w:ascii="Symbol" w:hAnsi="Symbol" w:cs="Symbol" w:hint="default"/>
      </w:rPr>
    </w:lvl>
    <w:lvl w:ilvl="2">
      <w:start w:val="0"/>
      <w:numFmt w:val="bullet"/>
      <w:lvlText w:val=""/>
      <w:lvlJc w:val="left"/>
      <w:pPr>
        <w:tabs>
          <w:tab w:val="num" w:pos="0"/>
        </w:tabs>
        <w:ind w:left="2160" w:hanging="480"/>
      </w:pPr>
      <w:rPr>
        <w:rFonts w:ascii="Symbol" w:hAnsi="Symbol" w:cs="Symbol" w:hint="default"/>
      </w:rPr>
    </w:lvl>
    <w:lvl w:ilvl="3">
      <w:start w:val="0"/>
      <w:numFmt w:val="bullet"/>
      <w:lvlText w:val=""/>
      <w:lvlJc w:val="left"/>
      <w:pPr>
        <w:tabs>
          <w:tab w:val="num" w:pos="0"/>
        </w:tabs>
        <w:ind w:left="2880" w:hanging="480"/>
      </w:pPr>
      <w:rPr>
        <w:rFonts w:ascii="Symbol" w:hAnsi="Symbol" w:cs="Symbol" w:hint="default"/>
      </w:rPr>
    </w:lvl>
    <w:lvl w:ilvl="4">
      <w:start w:val="0"/>
      <w:numFmt w:val="bullet"/>
      <w:lvlText w:val=""/>
      <w:lvlJc w:val="left"/>
      <w:pPr>
        <w:tabs>
          <w:tab w:val="num" w:pos="0"/>
        </w:tabs>
        <w:ind w:left="3600" w:hanging="480"/>
      </w:pPr>
      <w:rPr>
        <w:rFonts w:ascii="Symbol" w:hAnsi="Symbol" w:cs="Symbol" w:hint="default"/>
      </w:rPr>
    </w:lvl>
    <w:lvl w:ilvl="5">
      <w:start w:val="0"/>
      <w:numFmt w:val="bullet"/>
      <w:lvlText w:val=""/>
      <w:lvlJc w:val="left"/>
      <w:pPr>
        <w:tabs>
          <w:tab w:val="num" w:pos="0"/>
        </w:tabs>
        <w:ind w:left="4320" w:hanging="480"/>
      </w:pPr>
      <w:rPr>
        <w:rFonts w:ascii="Symbol" w:hAnsi="Symbol" w:cs="Symbol" w:hint="default"/>
      </w:rPr>
    </w:lvl>
    <w:lvl w:ilvl="6">
      <w:start w:val="0"/>
      <w:numFmt w:val="bullet"/>
      <w:lvlText w:val=""/>
      <w:lvlJc w:val="left"/>
      <w:pPr>
        <w:tabs>
          <w:tab w:val="num" w:pos="0"/>
        </w:tabs>
        <w:ind w:left="5040" w:hanging="480"/>
      </w:pPr>
      <w:rPr>
        <w:rFonts w:ascii="Symbol" w:hAnsi="Symbol" w:cs="Symbol" w:hint="default"/>
      </w:rPr>
    </w:lvl>
    <w:lvl w:ilvl="7">
      <w:start w:val="0"/>
      <w:numFmt w:val="bullet"/>
      <w:lvlText w:val=""/>
      <w:lvlJc w:val="left"/>
      <w:pPr>
        <w:tabs>
          <w:tab w:val="num" w:pos="0"/>
        </w:tabs>
        <w:ind w:left="5760" w:hanging="480"/>
      </w:pPr>
      <w:rPr>
        <w:rFonts w:ascii="Symbol" w:hAnsi="Symbol" w:cs="Symbol" w:hint="default"/>
      </w:rPr>
    </w:lvl>
    <w:lvl w:ilvl="8">
      <w:start w:val="0"/>
      <w:numFmt w:val="bullet"/>
      <w:lvlText w:val=""/>
      <w:lvlJc w:val="left"/>
      <w:pPr>
        <w:tabs>
          <w:tab w:val="num" w:pos="0"/>
        </w:tabs>
        <w:ind w:left="6480" w:hanging="480"/>
      </w:pPr>
      <w:rPr>
        <w:rFonts w:ascii="Symbol" w:hAnsi="Symbol" w:cs="Symbol" w:hint="default"/>
      </w:rPr>
    </w:lvl>
  </w:abstractNum>
  <w:num w:numId="1">
    <w:abstractNumId w:val="1"/>
  </w:num>
  <w:num w:numId="2">
    <w:abstractNumId w:val="2"/>
  </w:num>
</w:numbering>
</file>

<file path=word/settings.xml><?xml version="1.0" encoding="utf-8"?>
<w:settings xmlns:w="http://schemas.openxmlformats.org/wordprocessingml/2006/main">
  <w:zoom w:percent="75"/>
  <w:embedSystemFonts/>
  <w:defaultTabStop w:val="720"/>
  <w:autoHyphenation w:val="true"/>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suppressAutoHyphens w:val="true"/>
      </w:pPr>
    </w:pPrDefault>
  </w:docDefaults>
  <w:latentStyles w:defLockedState="0" w:defUIPriority="0" w:defSemiHidden="0" w:defUnhideWhenUsed="0" w:defQFormat="0" w:count="276"/>
  <w:style w:type="paragraph" w:styleId="Normal" w:default="1">
    <w:name w:val="Normal"/>
    <w:qFormat/>
    <w:pPr>
      <w:widowControl/>
      <w:suppressAutoHyphens w:val="true"/>
      <w:bidi w:val="0"/>
      <w:spacing w:before="0" w:after="200"/>
      <w:jc w:val="left"/>
    </w:pPr>
    <w:rPr>
      <w:rFonts w:ascii="Ubuntu" w:hAnsi="Ubuntu" w:eastAsia="Cambria" w:cs="" w:cstheme="minorBidi" w:eastAsiaTheme="minorHAnsi"/>
      <w:color w:val="auto"/>
      <w:kern w:val="0"/>
      <w:sz w:val="24"/>
      <w:szCs w:val="24"/>
      <w:lang w:val="en-US" w:eastAsia="en-US" w:bidi="ar-SA"/>
    </w:rPr>
  </w:style>
  <w:style w:type="paragraph" w:styleId="Heading1">
    <w:name w:val="Heading 1"/>
    <w:basedOn w:val="Normal"/>
    <w:next w:val="TextBody"/>
    <w:uiPriority w:val="9"/>
    <w:qFormat/>
    <w:pPr>
      <w:keepNext w:val="true"/>
      <w:keepLines/>
      <w:numPr>
        <w:ilvl w:val="0"/>
        <w:numId w:val="1"/>
      </w:numPr>
      <w:spacing w:before="480" w:after="0"/>
      <w:outlineLvl w:val="0"/>
    </w:pPr>
    <w:rPr>
      <w:rFonts w:ascii="Ubuntu" w:hAnsi="Ubuntu" w:eastAsia="" w:cs="" w:cstheme="majorBidi" w:eastAsiaTheme="majorEastAsia"/>
      <w:b/>
      <w:bCs/>
      <w:caps/>
      <w:color w:val="000000"/>
      <w:sz w:val="32"/>
      <w:szCs w:val="32"/>
    </w:rPr>
  </w:style>
  <w:style w:type="paragraph" w:styleId="Heading2">
    <w:name w:val="Heading 2"/>
    <w:basedOn w:val="Normal"/>
    <w:next w:val="TextBody"/>
    <w:uiPriority w:val="9"/>
    <w:unhideWhenUsed/>
    <w:qFormat/>
    <w:pPr>
      <w:keepNext w:val="true"/>
      <w:keepLines/>
      <w:numPr>
        <w:ilvl w:val="1"/>
        <w:numId w:val="1"/>
      </w:numPr>
      <w:spacing w:before="200" w:after="0"/>
      <w:outlineLvl w:val="1"/>
    </w:pPr>
    <w:rPr>
      <w:rFonts w:ascii="Ubuntu" w:hAnsi="Ubuntu" w:eastAsia="" w:cs="" w:cstheme="majorBidi" w:eastAsiaTheme="majorEastAsia"/>
      <w:b/>
      <w:bCs/>
      <w:color w:val="000000"/>
      <w:sz w:val="28"/>
      <w:szCs w:val="28"/>
    </w:rPr>
  </w:style>
  <w:style w:type="paragraph" w:styleId="Heading3">
    <w:name w:val="Heading 3"/>
    <w:basedOn w:val="Normal"/>
    <w:next w:val="TextBody"/>
    <w:uiPriority w:val="9"/>
    <w:unhideWhenUsed/>
    <w:qFormat/>
    <w:pPr>
      <w:keepNext w:val="true"/>
      <w:keepLines/>
      <w:numPr>
        <w:ilvl w:val="2"/>
        <w:numId w:val="1"/>
      </w:numPr>
      <w:spacing w:before="200" w:after="0"/>
      <w:outlineLvl w:val="2"/>
    </w:pPr>
    <w:rPr>
      <w:rFonts w:ascii="Ubuntu" w:hAnsi="Ubuntu" w:eastAsia="" w:cs="" w:cstheme="majorBidi" w:eastAsiaTheme="majorEastAsia"/>
      <w:b/>
      <w:bCs/>
      <w:color w:val="000000"/>
      <w:sz w:val="24"/>
      <w:szCs w:val="24"/>
    </w:rPr>
  </w:style>
  <w:style w:type="paragraph" w:styleId="Heading4">
    <w:name w:val="Heading 4"/>
    <w:basedOn w:val="Normal"/>
    <w:next w:val="TextBody"/>
    <w:uiPriority w:val="9"/>
    <w:unhideWhenUsed/>
    <w:qFormat/>
    <w:pPr>
      <w:keepNext w:val="true"/>
      <w:keepLines/>
      <w:numPr>
        <w:ilvl w:val="3"/>
        <w:numId w:val="1"/>
      </w:numPr>
      <w:spacing w:before="200" w:after="0"/>
      <w:outlineLvl w:val="3"/>
    </w:pPr>
    <w:rPr>
      <w:rFonts w:ascii="Ubuntu" w:hAnsi="Ubuntu" w:eastAsia="" w:cs="" w:cstheme="majorBidi" w:eastAsiaTheme="majorEastAsia"/>
      <w:bCs/>
      <w:i/>
      <w:color w:val="000000"/>
      <w:sz w:val="24"/>
      <w:szCs w:val="24"/>
    </w:rPr>
  </w:style>
  <w:style w:type="paragraph" w:styleId="Heading5">
    <w:name w:val="Heading 5"/>
    <w:basedOn w:val="Normal"/>
    <w:next w:val="TextBody"/>
    <w:uiPriority w:val="9"/>
    <w:unhideWhenUsed/>
    <w:qFormat/>
    <w:pPr>
      <w:keepNext w:val="true"/>
      <w:keepLines/>
      <w:numPr>
        <w:ilvl w:val="4"/>
        <w:numId w:val="1"/>
      </w:numPr>
      <w:spacing w:before="200" w:after="0"/>
      <w:outlineLvl w:val="4"/>
    </w:pPr>
    <w:rPr>
      <w:rFonts w:ascii="Ubuntu" w:hAnsi="Ubuntu" w:eastAsia="" w:cs="" w:cstheme="majorBidi" w:eastAsiaTheme="majorEastAsia"/>
      <w:iCs/>
      <w:color w:val="000000"/>
      <w:sz w:val="24"/>
      <w:szCs w:val="24"/>
    </w:rPr>
  </w:style>
  <w:style w:type="paragraph" w:styleId="Heading6">
    <w:name w:val="Heading 6"/>
    <w:basedOn w:val="Normal"/>
    <w:next w:val="TextBody"/>
    <w:uiPriority w:val="9"/>
    <w:unhideWhenUsed/>
    <w:qFormat/>
    <w:pPr>
      <w:keepNext w:val="true"/>
      <w:keepLines/>
      <w:numPr>
        <w:ilvl w:val="5"/>
        <w:numId w:val="1"/>
      </w:numPr>
      <w:spacing w:before="200" w:after="0"/>
      <w:outlineLvl w:val="5"/>
    </w:pPr>
    <w:rPr>
      <w:rFonts w:ascii="Ubuntu" w:hAnsi="Ubuntu" w:eastAsia="" w:cs="" w:cstheme="majorBidi" w:eastAsiaTheme="majorEastAsia"/>
      <w:color w:val="000000"/>
      <w:sz w:val="24"/>
      <w:szCs w:val="24"/>
    </w:rPr>
  </w:style>
  <w:style w:type="paragraph" w:styleId="Heading7">
    <w:name w:val="Heading 7"/>
    <w:basedOn w:val="Normal"/>
    <w:next w:val="TextBody"/>
    <w:uiPriority w:val="9"/>
    <w:unhideWhenUsed/>
    <w:qFormat/>
    <w:pPr>
      <w:keepNext w:val="true"/>
      <w:keepLines/>
      <w:numPr>
        <w:ilvl w:val="6"/>
        <w:numId w:val="1"/>
      </w:numPr>
      <w:spacing w:before="200" w:after="0"/>
      <w:outlineLvl w:val="6"/>
    </w:pPr>
    <w:rPr>
      <w:rFonts w:ascii="Ubuntu" w:hAnsi="Ubuntu" w:eastAsia="" w:cs="" w:cstheme="majorBidi" w:eastAsiaTheme="majorEastAsia"/>
      <w:color w:val="000000"/>
      <w:sz w:val="24"/>
      <w:szCs w:val="24"/>
    </w:rPr>
  </w:style>
  <w:style w:type="paragraph" w:styleId="Heading8">
    <w:name w:val="Heading 8"/>
    <w:basedOn w:val="Normal"/>
    <w:next w:val="TextBody"/>
    <w:uiPriority w:val="9"/>
    <w:unhideWhenUsed/>
    <w:qFormat/>
    <w:pPr>
      <w:keepNext w:val="true"/>
      <w:keepLines/>
      <w:numPr>
        <w:ilvl w:val="7"/>
        <w:numId w:val="1"/>
      </w:numPr>
      <w:spacing w:before="200" w:after="0"/>
      <w:outlineLvl w:val="7"/>
    </w:pPr>
    <w:rPr>
      <w:rFonts w:ascii="Ubuntu" w:hAnsi="Ubuntu" w:eastAsia="" w:cs="" w:cstheme="majorBidi" w:eastAsiaTheme="majorEastAsia"/>
      <w:color w:val="000000"/>
      <w:sz w:val="24"/>
      <w:szCs w:val="24"/>
    </w:rPr>
  </w:style>
  <w:style w:type="paragraph" w:styleId="Heading9">
    <w:name w:val="Heading 9"/>
    <w:basedOn w:val="Normal"/>
    <w:next w:val="TextBody"/>
    <w:uiPriority w:val="9"/>
    <w:unhideWhenUsed/>
    <w:qFormat/>
    <w:pPr>
      <w:keepNext w:val="true"/>
      <w:keepLines/>
      <w:numPr>
        <w:ilvl w:val="8"/>
        <w:numId w:val="1"/>
      </w:numPr>
      <w:spacing w:before="200" w:after="0"/>
      <w:outlineLvl w:val="8"/>
    </w:pPr>
    <w:rPr>
      <w:rFonts w:ascii="Ubuntu" w:hAnsi="Ubuntu" w:eastAsia="" w:cs="" w:cstheme="majorBidi" w:eastAsiaTheme="majorEastAsia"/>
      <w:color w:val="000000"/>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qFormat/>
    <w:rPr/>
  </w:style>
  <w:style w:type="character" w:styleId="VerbatimChar" w:customStyle="1">
    <w:name w:val="Verbatim Char"/>
    <w:basedOn w:val="BodyTextChar"/>
    <w:qFormat/>
    <w:rPr>
      <w:rFonts w:ascii="Consolas" w:hAnsi="Consolas"/>
      <w:sz w:val="22"/>
    </w:rPr>
  </w:style>
  <w:style w:type="character" w:styleId="SectionNumber" w:customStyle="1">
    <w:name w:val="Section Number"/>
    <w:basedOn w:val="BodyTextChar"/>
    <w:qFormat/>
    <w:rPr/>
  </w:style>
  <w:style w:type="character" w:styleId="Ncoradanotaderodap">
    <w:name w:val="Âncora da nota de rodapé"/>
    <w:qFormat/>
    <w:rPr>
      <w:vertAlign w:val="superscript"/>
    </w:rPr>
  </w:style>
  <w:style w:type="character" w:styleId="FootnoteCharacters">
    <w:name w:val="Footnote Characters"/>
    <w:basedOn w:val="BodyTextChar"/>
    <w:qFormat/>
    <w:rPr>
      <w:vertAlign w:val="superscript"/>
    </w:rPr>
  </w:style>
  <w:style w:type="character" w:styleId="LinkdaInternet">
    <w:name w:val="Link da Internet"/>
    <w:basedOn w:val="BodyTextChar"/>
    <w:qFormat/>
    <w:rPr>
      <w:color w:val="4F81BD" w:themeColor="accent1"/>
    </w:rPr>
  </w:style>
  <w:style w:type="character" w:styleId="KeywordTok" w:customStyle="1">
    <w:name w:val="KeywordTok"/>
    <w:basedOn w:val="VerbatimChar"/>
    <w:qFormat/>
    <w:rPr>
      <w:b/>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b/>
      <w:i/>
      <w:color w:val="8F5902"/>
      <w:shd w:fill="F8F8F8" w:val="clear"/>
    </w:rPr>
  </w:style>
  <w:style w:type="character" w:styleId="AnnotationTok" w:customStyle="1">
    <w:name w:val="AnnotationTok"/>
    <w:basedOn w:val="VerbatimChar"/>
    <w:qFormat/>
    <w:rPr>
      <w:b/>
      <w:i/>
      <w:color w:val="8F5902"/>
      <w:shd w:fill="F8F8F8" w:val="clear"/>
    </w:rPr>
  </w:style>
  <w:style w:type="character" w:styleId="CommentVarTok" w:customStyle="1">
    <w:name w:val="CommentVarTok"/>
    <w:basedOn w:val="VerbatimChar"/>
    <w:qFormat/>
    <w:rPr>
      <w:b/>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b/>
      <w:color w:val="204A87"/>
      <w:shd w:fill="F8F8F8" w:val="clear"/>
    </w:rPr>
  </w:style>
  <w:style w:type="character" w:styleId="OperatorTok" w:customStyle="1">
    <w:name w:val="OperatorTok"/>
    <w:basedOn w:val="VerbatimChar"/>
    <w:qFormat/>
    <w:rPr>
      <w:b/>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b/>
      <w:i/>
      <w:color w:val="8F5902"/>
      <w:shd w:fill="F8F8F8" w:val="clear"/>
    </w:rPr>
  </w:style>
  <w:style w:type="character" w:styleId="WarningTok" w:customStyle="1">
    <w:name w:val="WarningTok"/>
    <w:basedOn w:val="VerbatimChar"/>
    <w:qFormat/>
    <w:rPr>
      <w:b/>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b/>
      <w:color w:val="A40000"/>
      <w:shd w:fill="F8F8F8" w:val="clear"/>
    </w:rPr>
  </w:style>
  <w:style w:type="character" w:styleId="NormalTok" w:customStyle="1">
    <w:name w:val="NormalTok"/>
    <w:basedOn w:val="VerbatimChar"/>
    <w:qFormat/>
    <w:rPr>
      <w:shd w:fill="F8F8F8" w:val="clear"/>
    </w:rPr>
  </w:style>
  <w:style w:type="character" w:styleId="Vnculodendice">
    <w:name w:val="Vínculo de índice"/>
    <w:qFormat/>
    <w:rPr/>
  </w:style>
  <w:style w:type="character" w:styleId="Numeraodelinhas">
    <w:name w:val="Numeração de linhas"/>
    <w:qFormat/>
    <w:rPr/>
  </w:style>
  <w:style w:type="character" w:styleId="InternetLink">
    <w:name w:val="Hyperlink"/>
    <w:rPr>
      <w:color w:val="000080"/>
      <w:u w:val="single"/>
      <w:lang w:val="zxx" w:eastAsia="zxx" w:bidi="zxx"/>
    </w:rPr>
  </w:style>
  <w:style w:type="character" w:styleId="IndexLink">
    <w:name w:val="Index Link"/>
    <w:qFormat/>
    <w:rPr/>
  </w:style>
  <w:style w:type="paragraph" w:styleId="Heading">
    <w:name w:val="Heading"/>
    <w:basedOn w:val="Normal"/>
    <w:next w:val="TextBody"/>
    <w:qFormat/>
    <w:pPr>
      <w:keepNext w:val="true"/>
      <w:spacing w:before="240" w:after="120"/>
    </w:pPr>
    <w:rPr>
      <w:rFonts w:ascii="Ubuntu" w:hAnsi="Ubuntu" w:eastAsia="Noto Sans CJK SC" w:cs="Lohit Devanagari"/>
      <w:sz w:val="28"/>
      <w:szCs w:val="28"/>
    </w:rPr>
  </w:style>
  <w:style w:type="paragraph" w:styleId="TextBody">
    <w:name w:val="Body Text"/>
    <w:basedOn w:val="Normal"/>
    <w:link w:val="BodyTextChar"/>
    <w:qFormat/>
    <w:pPr>
      <w:spacing w:before="180" w:after="180"/>
    </w:pPr>
    <w:rPr>
      <w:rFonts w:ascii="Ubuntu" w:hAnsi="Ubuntu"/>
    </w:rPr>
  </w:style>
  <w:style w:type="paragraph" w:styleId="List">
    <w:name w:val="List"/>
    <w:basedOn w:val="TextBody"/>
    <w:pPr/>
    <w:rPr>
      <w:rFonts w:cs="Lohit Devanagari"/>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Ubuntu" w:hAnsi="Ubuntu" w:cs="Lohit Devanagari"/>
      <w:lang w:val="zxx" w:eastAsia="zxx" w:bidi="zxx"/>
    </w:rPr>
  </w:style>
  <w:style w:type="paragraph" w:styleId="Ttulo">
    <w:name w:val="Título"/>
    <w:basedOn w:val="Normal"/>
    <w:next w:val="TextBody"/>
    <w:qFormat/>
    <w:pPr>
      <w:keepNext w:val="true"/>
      <w:spacing w:before="240" w:after="120"/>
    </w:pPr>
    <w:rPr>
      <w:rFonts w:ascii="Liberation Sans" w:hAnsi="Liberation Sans" w:eastAsia="Noto Sans CJK SC" w:cs="Lohit Devanagari"/>
      <w:sz w:val="28"/>
      <w:szCs w:val="28"/>
    </w:rPr>
  </w:style>
  <w:style w:type="paragraph" w:styleId="Ndice">
    <w:name w:val="Índice"/>
    <w:basedOn w:val="Normal"/>
    <w:qFormat/>
    <w:pPr>
      <w:suppressLineNumbers/>
    </w:pPr>
    <w:rPr>
      <w:rFonts w:cs="Lohit Devanagari"/>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0" w:after="0"/>
    </w:pPr>
    <w:rPr>
      <w:rFonts w:ascii="Ubuntu" w:hAnsi="Ubuntu"/>
    </w:rPr>
  </w:style>
  <w:style w:type="paragraph" w:styleId="Title">
    <w:name w:val="Title"/>
    <w:basedOn w:val="Normal"/>
    <w:next w:val="TextBody"/>
    <w:qFormat/>
    <w:pPr>
      <w:keepNext w:val="true"/>
      <w:keepLines/>
      <w:spacing w:before="480" w:after="240"/>
      <w:jc w:val="center"/>
    </w:pPr>
    <w:rPr>
      <w:rFonts w:ascii="Ubuntu" w:hAnsi="Ubuntu" w:eastAsia="" w:cs="" w:cstheme="majorBidi" w:eastAsiaTheme="majorEastAsia"/>
      <w:b/>
      <w:bCs/>
      <w:color w:val="000000" w:themeShade="b5"/>
      <w:sz w:val="32"/>
      <w:szCs w:val="36"/>
    </w:rPr>
  </w:style>
  <w:style w:type="paragraph" w:styleId="Subtitle">
    <w:name w:val="Subtitle"/>
    <w:basedOn w:val="Title"/>
    <w:next w:val="TextBody"/>
    <w:qFormat/>
    <w:pPr>
      <w:keepNext w:val="true"/>
      <w:keepLines/>
      <w:spacing w:before="240" w:after="240"/>
      <w:jc w:val="center"/>
    </w:pPr>
    <w:rPr>
      <w:rFonts w:ascii="Ubuntu" w:hAnsi="Ubuntu"/>
      <w:color w:val="000000"/>
      <w:sz w:val="20"/>
      <w:szCs w:val="30"/>
    </w:rPr>
  </w:style>
  <w:style w:type="paragraph" w:styleId="Author" w:customStyle="1">
    <w:name w:val="Author"/>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Date">
    <w:name w:val="Date"/>
    <w:next w:val="TextBody"/>
    <w:qFormat/>
    <w:pPr>
      <w:keepNext w:val="true"/>
      <w:keepLines/>
      <w:widowControl/>
      <w:suppressAutoHyphens w:val="true"/>
      <w:bidi w:val="0"/>
      <w:spacing w:before="0" w:after="200"/>
      <w:jc w:val="center"/>
    </w:pPr>
    <w:rPr>
      <w:rFonts w:ascii="Ubuntu" w:hAnsi="Ubuntu" w:eastAsia="Cambria" w:cs="" w:cstheme="minorBidi" w:eastAsiaTheme="minorHAnsi"/>
      <w:color w:val="auto"/>
      <w:kern w:val="0"/>
      <w:sz w:val="20"/>
      <w:szCs w:val="24"/>
      <w:lang w:val="en-US" w:eastAsia="en-US" w:bidi="ar-SA"/>
    </w:rPr>
  </w:style>
  <w:style w:type="paragraph" w:styleId="Abstract" w:customStyle="1">
    <w:name w:val="Abstract"/>
    <w:basedOn w:val="Normal"/>
    <w:next w:val="TextBody"/>
    <w:qFormat/>
    <w:pPr>
      <w:keepNext w:val="true"/>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left="480" w:right="480" w:hanging="0"/>
    </w:pPr>
    <w:rPr/>
  </w:style>
  <w:style w:type="paragraph" w:styleId="Footnote">
    <w:name w:val="Footnote Text"/>
    <w:basedOn w:val="Normal"/>
    <w:uiPriority w:val="9"/>
    <w:unhideWhenUsed/>
    <w:qFormat/>
    <w:pPr/>
    <w:rPr/>
  </w:style>
  <w:style w:type="paragraph" w:styleId="DefinitionTerm" w:customStyle="1">
    <w:name w:val="Definition Term"/>
    <w:basedOn w:val="Normal"/>
    <w:next w:val="Definition"/>
    <w:qFormat/>
    <w:pPr>
      <w:keepNext w:val="true"/>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val="true"/>
    </w:pPr>
    <w:rPr/>
  </w:style>
  <w:style w:type="paragraph" w:styleId="ImageCaption" w:customStyle="1">
    <w:name w:val="Image Caption"/>
    <w:basedOn w:val="Caption"/>
    <w:qFormat/>
    <w:pPr/>
    <w:rPr/>
  </w:style>
  <w:style w:type="paragraph" w:styleId="Figura" w:customStyle="1">
    <w:name w:val="Figura"/>
    <w:basedOn w:val="Normal"/>
    <w:qFormat/>
    <w:pPr/>
    <w:rPr/>
  </w:style>
  <w:style w:type="paragraph" w:styleId="CaptionedFigure" w:customStyle="1">
    <w:name w:val="Captioned Figure"/>
    <w:basedOn w:val="Figura"/>
    <w:qFormat/>
    <w:pPr>
      <w:keepNext w:val="true"/>
    </w:pPr>
    <w:rPr/>
  </w:style>
  <w:style w:type="paragraph" w:styleId="IndexHeading">
    <w:name w:val="Index Heading"/>
    <w:basedOn w:val="Ttulo"/>
    <w:pPr>
      <w:suppressLineNumbers/>
      <w:ind w:left="0" w:hanging="0"/>
      <w:jc w:val="center"/>
    </w:pPr>
    <w:rPr>
      <w:rFonts w:ascii="Ubuntu" w:hAnsi="Ubuntu"/>
      <w:b/>
      <w:bCs/>
      <w:caps/>
      <w:sz w:val="32"/>
      <w:szCs w:val="32"/>
    </w:rPr>
  </w:style>
  <w:style w:type="paragraph" w:styleId="ContentsHeading">
    <w:name w:val="TOC Heading"/>
    <w:basedOn w:val="Heading1"/>
    <w:next w:val="TextBody"/>
    <w:uiPriority w:val="39"/>
    <w:unhideWhenUsed/>
    <w:qFormat/>
    <w:pPr>
      <w:numPr>
        <w:ilvl w:val="0"/>
        <w:numId w:val="0"/>
      </w:numPr>
      <w:spacing w:lineRule="auto" w:line="259" w:before="240" w:after="0"/>
      <w:jc w:val="center"/>
      <w:outlineLvl w:val="9"/>
    </w:pPr>
    <w:rPr>
      <w:rFonts w:ascii="Ubuntu" w:hAnsi="Ubuntu" w:eastAsia="" w:cs="" w:cstheme="majorBidi" w:eastAsiaTheme="majorEastAsia"/>
      <w:b/>
      <w:bCs w:val="false"/>
      <w:color w:val="000000" w:themeShade="bf"/>
      <w:sz w:val="32"/>
    </w:rPr>
  </w:style>
  <w:style w:type="paragraph" w:styleId="SourceCode" w:customStyle="1">
    <w:name w:val="Source Code"/>
    <w:basedOn w:val="Normal"/>
    <w:link w:val="VerbatimChar"/>
    <w:qFormat/>
    <w:pPr>
      <w:shd w:val="clear" w:fill="F8F8F8"/>
    </w:pPr>
    <w:rPr>
      <w:rFonts w:ascii="Ubuntu Mono" w:hAnsi="Ubuntu Mono"/>
    </w:rPr>
  </w:style>
  <w:style w:type="paragraph" w:styleId="TOAHeading">
    <w:name w:val="TOA Heading"/>
    <w:basedOn w:val="IndexHeading"/>
    <w:qFormat/>
    <w:pPr>
      <w:suppressLineNumbers/>
      <w:ind w:left="0" w:hanging="0"/>
    </w:pPr>
    <w:rPr>
      <w:b/>
      <w:bCs/>
      <w:sz w:val="32"/>
      <w:szCs w:val="32"/>
    </w:rPr>
  </w:style>
  <w:style w:type="paragraph" w:styleId="Contents1">
    <w:name w:val="TOC 1"/>
    <w:basedOn w:val="Ndice"/>
    <w:pPr>
      <w:tabs>
        <w:tab w:val="clear" w:pos="720"/>
        <w:tab w:val="right" w:pos="9360" w:leader="dot"/>
      </w:tabs>
      <w:spacing w:before="0" w:after="57"/>
      <w:ind w:left="0" w:hanging="0"/>
    </w:pPr>
    <w:rPr>
      <w:rFonts w:ascii="Ubuntu" w:hAnsi="Ubuntu"/>
      <w:caps/>
      <w:sz w:val="20"/>
    </w:rPr>
  </w:style>
  <w:style w:type="paragraph" w:styleId="Contents2">
    <w:name w:val="TOC 2"/>
    <w:basedOn w:val="Ndice"/>
    <w:pPr>
      <w:tabs>
        <w:tab w:val="clear" w:pos="720"/>
        <w:tab w:val="right" w:pos="9077" w:leader="dot"/>
      </w:tabs>
      <w:spacing w:before="0" w:after="57"/>
      <w:ind w:left="283" w:hanging="0"/>
    </w:pPr>
    <w:rPr>
      <w:rFonts w:ascii="Ubuntu" w:hAnsi="Ubuntu"/>
      <w:sz w:val="20"/>
    </w:rPr>
  </w:style>
  <w:style w:type="paragraph" w:styleId="Contents3">
    <w:name w:val="TOC 3"/>
    <w:basedOn w:val="Ndice"/>
    <w:pPr>
      <w:tabs>
        <w:tab w:val="clear" w:pos="720"/>
        <w:tab w:val="right" w:pos="8794" w:leader="dot"/>
      </w:tabs>
      <w:spacing w:before="0" w:after="57"/>
      <w:ind w:left="566" w:hanging="0"/>
    </w:pPr>
    <w:rPr>
      <w:rFonts w:ascii="Ubuntu" w:hAnsi="Ubuntu"/>
      <w:sz w:val="20"/>
    </w:rPr>
  </w:style>
  <w:style w:type="paragraph" w:styleId="CabealhoeRodap">
    <w:name w:val="Cabeçalho e Rodapé"/>
    <w:basedOn w:val="Normal"/>
    <w:qFormat/>
    <w:pPr>
      <w:suppressLineNumbers/>
      <w:tabs>
        <w:tab w:val="clear" w:pos="720"/>
        <w:tab w:val="center" w:pos="4680" w:leader="none"/>
        <w:tab w:val="right" w:pos="9360" w:leader="none"/>
      </w:tabs>
      <w:spacing w:lineRule="auto" w:line="276" w:before="0" w:after="0"/>
      <w:jc w:val="center"/>
    </w:pPr>
    <w:rPr>
      <w:rFonts w:ascii="Ubuntu" w:hAnsi="Ubuntu"/>
      <w:sz w:val="20"/>
    </w:rPr>
  </w:style>
  <w:style w:type="paragraph" w:styleId="HeaderandFooter">
    <w:name w:val="Header and Footer"/>
    <w:basedOn w:val="Normal"/>
    <w:qFormat/>
    <w:pPr/>
    <w:rPr/>
  </w:style>
  <w:style w:type="paragraph" w:styleId="Footer">
    <w:name w:val="Footer"/>
    <w:basedOn w:val="CabealhoeRodap"/>
    <w:pPr>
      <w:suppressLineNumbers/>
    </w:pPr>
    <w:rPr/>
  </w:style>
  <w:style w:type="paragraph" w:styleId="Contedodatabela">
    <w:name w:val="Conteúdo da tabela"/>
    <w:basedOn w:val="Normal"/>
    <w:qFormat/>
    <w:pPr>
      <w:widowControl w:val="false"/>
      <w:suppressLineNumbers/>
      <w:spacing w:before="0" w:after="0"/>
      <w:jc w:val="center"/>
    </w:pPr>
    <w:rPr>
      <w:rFonts w:ascii="Ubuntu" w:hAnsi="Ubuntu"/>
      <w:b w:val="false"/>
      <w:bCs/>
      <w:i w:val="false"/>
      <w:iCs w:val="false"/>
      <w:strike w:val="false"/>
      <w:dstrike w:val="false"/>
      <w:outline w:val="false"/>
      <w:shadow w:val="false"/>
      <w:color w:val="000000"/>
      <w:sz w:val="22"/>
      <w:szCs w:val="22"/>
      <w:u w:val="none"/>
    </w:rPr>
  </w:style>
  <w:style w:type="paragraph" w:styleId="Ttulodetabela">
    <w:name w:val="Título de tabela"/>
    <w:basedOn w:val="Contedodatabela"/>
    <w:qFormat/>
    <w:pPr>
      <w:suppressLineNumbers/>
      <w:jc w:val="center"/>
    </w:pPr>
    <w:rPr>
      <w:b/>
      <w:bCs/>
    </w:rPr>
  </w:style>
  <w:style w:type="paragraph" w:styleId="Header">
    <w:name w:val="Header"/>
    <w:basedOn w:val="CabealhoeRodap"/>
    <w:pPr>
      <w:suppressLineNumbers/>
    </w:pPr>
    <w:rPr/>
  </w:style>
  <w:style w:type="paragraph" w:styleId="Textoprformatado">
    <w:name w:val="Texto préformatado"/>
    <w:basedOn w:val="Normal"/>
    <w:qFormat/>
    <w:pPr>
      <w:spacing w:before="0" w:after="0"/>
    </w:pPr>
    <w:rPr>
      <w:rFonts w:ascii="Ubuntu Mono" w:hAnsi="Ubuntu Mono" w:eastAsia="Liberation Mono" w:cs="Liberation Mono"/>
      <w:sz w:val="24"/>
      <w:szCs w:val="20"/>
    </w:rPr>
  </w:style>
  <w:style w:type="paragraph" w:styleId="Sumrio10">
    <w:name w:val="Sumário 10"/>
    <w:basedOn w:val="Ndice"/>
    <w:qFormat/>
    <w:pPr>
      <w:tabs>
        <w:tab w:val="clear" w:pos="720"/>
        <w:tab w:val="right" w:pos="6813" w:leader="dot"/>
      </w:tabs>
      <w:ind w:left="2547" w:hanging="0"/>
    </w:pPr>
    <w:rPr>
      <w:rFonts w:ascii="Ubuntu" w:hAnsi="Ubuntu"/>
      <w:sz w:val="20"/>
    </w:rPr>
  </w:style>
  <w:style w:type="paragraph" w:styleId="Contents9">
    <w:name w:val="TOC 9"/>
    <w:basedOn w:val="Ndice"/>
    <w:pPr>
      <w:tabs>
        <w:tab w:val="clear" w:pos="720"/>
        <w:tab w:val="right" w:pos="7096" w:leader="dot"/>
      </w:tabs>
      <w:ind w:left="2264" w:hanging="0"/>
    </w:pPr>
    <w:rPr>
      <w:rFonts w:ascii="Ubuntu" w:hAnsi="Ubuntu"/>
      <w:sz w:val="20"/>
    </w:rPr>
  </w:style>
  <w:style w:type="paragraph" w:styleId="Contents8">
    <w:name w:val="TOC 8"/>
    <w:basedOn w:val="Ndice"/>
    <w:pPr>
      <w:tabs>
        <w:tab w:val="clear" w:pos="720"/>
        <w:tab w:val="right" w:pos="7379" w:leader="dot"/>
      </w:tabs>
      <w:ind w:left="1981" w:hanging="0"/>
    </w:pPr>
    <w:rPr>
      <w:rFonts w:ascii="Ubuntu" w:hAnsi="Ubuntu"/>
      <w:sz w:val="20"/>
    </w:rPr>
  </w:style>
  <w:style w:type="paragraph" w:styleId="Contents7">
    <w:name w:val="TOC 7"/>
    <w:basedOn w:val="Ndice"/>
    <w:pPr>
      <w:tabs>
        <w:tab w:val="clear" w:pos="720"/>
        <w:tab w:val="right" w:pos="7662" w:leader="dot"/>
      </w:tabs>
      <w:ind w:left="1698" w:hanging="0"/>
    </w:pPr>
    <w:rPr>
      <w:rFonts w:ascii="Ubuntu" w:hAnsi="Ubuntu"/>
      <w:sz w:val="20"/>
    </w:rPr>
  </w:style>
  <w:style w:type="paragraph" w:styleId="Contents6">
    <w:name w:val="TOC 6"/>
    <w:basedOn w:val="Ndice"/>
    <w:pPr>
      <w:tabs>
        <w:tab w:val="clear" w:pos="720"/>
        <w:tab w:val="right" w:pos="7945" w:leader="dot"/>
      </w:tabs>
      <w:ind w:left="1415" w:hanging="0"/>
    </w:pPr>
    <w:rPr>
      <w:rFonts w:ascii="Ubuntu" w:hAnsi="Ubuntu"/>
      <w:sz w:val="20"/>
    </w:rPr>
  </w:style>
  <w:style w:type="paragraph" w:styleId="Contents5">
    <w:name w:val="TOC 5"/>
    <w:basedOn w:val="Ndice"/>
    <w:pPr>
      <w:tabs>
        <w:tab w:val="clear" w:pos="720"/>
        <w:tab w:val="right" w:pos="8228" w:leader="dot"/>
      </w:tabs>
      <w:ind w:left="1132" w:hanging="0"/>
    </w:pPr>
    <w:rPr>
      <w:rFonts w:ascii="Ubuntu" w:hAnsi="Ubuntu"/>
      <w:sz w:val="20"/>
    </w:rPr>
  </w:style>
  <w:style w:type="paragraph" w:styleId="Contents4">
    <w:name w:val="TOC 4"/>
    <w:basedOn w:val="Ndice"/>
    <w:pPr>
      <w:tabs>
        <w:tab w:val="clear" w:pos="720"/>
        <w:tab w:val="right" w:pos="8511" w:leader="dot"/>
      </w:tabs>
      <w:ind w:left="849" w:hanging="0"/>
    </w:pPr>
    <w:rPr>
      <w:rFonts w:ascii="Ubuntu" w:hAnsi="Ubuntu"/>
      <w:sz w:val="20"/>
    </w:rPr>
  </w:style>
  <w:style w:type="paragraph" w:styleId="Ttulo10">
    <w:name w:val="Título 10"/>
    <w:basedOn w:val="Ttulo"/>
    <w:next w:val="TextBody"/>
    <w:qFormat/>
    <w:pPr>
      <w:spacing w:before="60" w:after="60"/>
      <w:outlineLvl w:val="8"/>
    </w:pPr>
    <w:rPr>
      <w:rFonts w:ascii="Ubuntu" w:hAnsi="Ubuntu"/>
      <w:b w:val="false"/>
      <w:bCs/>
      <w:sz w:val="21"/>
      <w:szCs w:val="21"/>
    </w:rPr>
  </w:style>
  <w:style w:type="paragraph" w:styleId="Ttulodondicedousurio">
    <w:name w:val="Título do índice do usuário"/>
    <w:basedOn w:val="IndexHeading"/>
    <w:qFormat/>
    <w:pPr>
      <w:suppressLineNumbers/>
      <w:ind w:left="0" w:hanging="0"/>
    </w:pPr>
    <w:rPr>
      <w:rFonts w:ascii="Ubuntu" w:hAnsi="Ubuntu"/>
      <w:b/>
      <w:bCs/>
      <w:caps/>
      <w:sz w:val="32"/>
      <w:szCs w:val="32"/>
    </w:rPr>
  </w:style>
  <w:style w:type="paragraph" w:styleId="Ttulodondicedetabelas">
    <w:name w:val="Título do índice de tabelas"/>
    <w:basedOn w:val="IndexHeading"/>
    <w:qFormat/>
    <w:pPr>
      <w:suppressLineNumbers/>
      <w:ind w:left="0" w:hanging="0"/>
    </w:pPr>
    <w:rPr>
      <w:rFonts w:ascii="Ubuntu" w:hAnsi="Ubuntu"/>
      <w:b/>
      <w:bCs/>
      <w:i w:val="false"/>
      <w:sz w:val="32"/>
      <w:szCs w:val="32"/>
    </w:rPr>
  </w:style>
  <w:style w:type="paragraph" w:styleId="Ttulodondicedeobjetos">
    <w:name w:val="Título do índice de objetos"/>
    <w:basedOn w:val="IndexHeading"/>
    <w:qFormat/>
    <w:pPr>
      <w:suppressLineNumbers/>
      <w:ind w:left="0" w:hanging="0"/>
    </w:pPr>
    <w:rPr>
      <w:rFonts w:ascii="Ubuntu" w:hAnsi="Ubuntu"/>
      <w:b/>
      <w:bCs/>
      <w:sz w:val="32"/>
      <w:szCs w:val="32"/>
    </w:rPr>
  </w:style>
  <w:style w:type="paragraph" w:styleId="Ttulodondicedefiguras">
    <w:name w:val="Título do índice de figuras"/>
    <w:basedOn w:val="IndexHeading"/>
    <w:qFormat/>
    <w:pPr>
      <w:suppressLineNumbers/>
      <w:ind w:left="0" w:hanging="0"/>
    </w:pPr>
    <w:rPr>
      <w:rFonts w:ascii="Ubuntu" w:hAnsi="Ubuntu"/>
      <w:b/>
      <w:bCs/>
      <w:i w:val="false"/>
      <w:sz w:val="32"/>
      <w:szCs w:val="32"/>
    </w:rPr>
  </w:style>
  <w:style w:type="paragraph" w:styleId="Citaes">
    <w:name w:val="Citações"/>
    <w:basedOn w:val="Normal"/>
    <w:qFormat/>
    <w:pPr>
      <w:spacing w:before="0" w:after="283"/>
      <w:ind w:left="567" w:right="567" w:hanging="0"/>
    </w:pPr>
    <w:rPr/>
  </w:style>
  <w:style w:type="paragraph" w:styleId="TableofAuthorities">
    <w:name w:val="Table of Authorities"/>
    <w:basedOn w:val="IndexHeading"/>
    <w:qFormat/>
    <w:pPr>
      <w:suppressLineNumbers/>
      <w:ind w:left="0" w:hanging="0"/>
    </w:pPr>
    <w:rPr>
      <w:b/>
      <w:bCs/>
      <w:sz w:val="28"/>
      <w:szCs w:val="32"/>
    </w:rPr>
  </w:style>
  <w:style w:type="paragraph" w:styleId="Tabela">
    <w:name w:val="Tabela"/>
    <w:basedOn w:val="Caption"/>
    <w:qFormat/>
    <w:pPr/>
    <w:rPr/>
  </w:style>
  <w:style w:type="paragraph" w:styleId="Closing">
    <w:name w:val="Closing"/>
    <w:basedOn w:val="Ttulo"/>
    <w:next w:val="TextBody"/>
    <w:qFormat/>
    <w:pPr>
      <w:jc w:val="center"/>
    </w:pPr>
    <w:rPr>
      <w:rFonts w:ascii="Ubuntu" w:hAnsi="Ubuntu"/>
      <w:b/>
      <w:bCs/>
      <w:sz w:val="32"/>
      <w:szCs w:val="32"/>
    </w:rPr>
  </w:style>
  <w:style w:type="paragraph" w:styleId="Contedodoquadro">
    <w:name w:val="Conteúdo do quadro"/>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table" w:default="1" w:styleId="Table">
    <w:name w:val="Table"/>
    <w:basedOn w:val="TableNormal"/>
    <w:semiHidden/>
    <w:unhideWhenUsed/>
    <w:qFormat/>
    <w:tblPr>
      <w:tblCellMar>
        <w:top w:w="0" w:type="dxa"/>
        <w:left w:w="108" w:type="dxa"/>
        <w:bottom w:w="0" w:type="dxa"/>
        <w:right w:w="108" w:type="dxa"/>
      </w:tblCellMar>
    </w:tblPr>
    <w:tblStylePr w:type="firstRow">
      <w:tblPr/>
      <w:tcPr>
        <w:tcBorders>
          <w:bottom w:val="single"/>
        </w:tcBorders>
        <w:vAlign w:val="bottom"/>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hyperlink" Target="https://philsf-biostat.github.io/SAR-2022-010-GJ/" TargetMode="Externa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https://philsf-biostat.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TotalTime>
  <Application>LibreOffice/7.3.0.3$Linux_X86_64 LibreOffice_project/30$Build-3</Application>
  <AppVersion>15.0000</AppVersion>
  <Pages>8</Pages>
  <Words>1230</Words>
  <Characters>6906</Characters>
  <CharactersWithSpaces>8034</CharactersWithSpaces>
  <Paragraphs>167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2022-02-19T21:40:03Z</dcterms:created>
  <dc:creator>From: Felipe Figueiredo To: techsavvy32 (fiverr.com)</dc:creator>
  <dc:description/>
  <dc:language>pt-BR</dc:language>
  <cp:lastModifiedBy>Felipe Figueiredo</cp:lastModifiedBy>
  <dcterms:modified xsi:type="dcterms:W3CDTF">2022-02-19T18:46:32Z</dcterms:modified>
  <cp:revision>3</cp:revision>
  <dc:subject/>
  <dc:title>Association between leadership commitment and telework satisfaction at NASA (2020): unweighted sex-adjusted stratified analysis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2022-02-19</vt:lpwstr>
  </property>
  <property fmtid="{D5CDD505-2E9C-101B-9397-08002B2CF9AE}" pid="3" name="output">
    <vt:lpwstr/>
  </property>
  <property fmtid="{D5CDD505-2E9C-101B-9397-08002B2CF9AE}" pid="4" name="subtitle">
    <vt:lpwstr>DOCUMENT: SAR-2022-010-GJ-v01</vt:lpwstr>
  </property>
</Properties>
</file>