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telework satisfaction at NASA (2020): unweighted sex-adjusted stratified analysis</w:t>
      </w:r>
    </w:p>
    <w:p>
      <w:pPr>
        <w:pStyle w:val="Subtitle"/>
        <w:rPr/>
      </w:pPr>
      <w:r>
        <w:rPr/>
        <w:t>DOCUMENT: SAR-2022-010-GJ-v01</w:t>
      </w:r>
    </w:p>
    <w:p>
      <w:pPr>
        <w:pStyle w:val="Author"/>
        <w:rPr/>
      </w:pPr>
      <w:r>
        <w:rPr>
          <w:b/>
          <w:bCs/>
        </w:rPr>
        <w:t>From:</w:t>
      </w:r>
      <w:r>
        <w:rPr/>
        <w:t xml:space="preserve"> Felipe Figueiredo </w:t>
      </w:r>
      <w:r>
        <w:rPr>
          <w:b/>
          <w:bCs/>
        </w:rPr>
        <w:t>To:</w:t>
      </w:r>
      <w:r>
        <w:rPr/>
        <w:t xml:space="preserve"> ___</w:t>
      </w:r>
    </w:p>
    <w:p>
      <w:pPr>
        <w:pStyle w:val="Date"/>
        <w:rPr/>
      </w:pPr>
      <w:r>
        <w:rPr/>
        <w:t>2022-02-17</w:t>
      </w:r>
    </w:p>
    <w:sdt>
      <w:sdtPr>
        <w:docPartObj>
          <w:docPartGallery w:val="Table of Contents"/>
          <w:docPartUnique w:val="true"/>
        </w:docPartObj>
      </w:sdtPr>
      <w:sdtContent>
        <w:p>
          <w:pPr>
            <w:pStyle w:val="ContentsHeading"/>
            <w:ind w:hanging="0"/>
            <w:rPr/>
          </w:pPr>
          <w:r>
            <w:rPr/>
            <w:t>Table of Contents</w:t>
          </w:r>
        </w:p>
        <w:p>
          <w:pPr>
            <w:pStyle w:val="Normal"/>
            <w:rPr/>
          </w:pPr>
          <w:r>
            <w:fldChar w:fldCharType="begin"/>
          </w:r>
          <w:r>
            <w:rPr/>
            <w:instrText xml:space="preserve"> TOC \z \o "1-3" \u \h</w:instrText>
          </w:r>
          <w:r>
            <w:rPr/>
            <w:fldChar w:fldCharType="separate"/>
          </w:r>
          <w:r>
            <w:rPr/>
          </w:r>
          <w:r>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FirstParagraph"/>
        <w:rPr/>
      </w:pPr>
      <w:r>
        <w:rPr>
          <w:b/>
          <w:bCs/>
        </w:rPr>
        <w:t>Association between leadership commitment and telework satisfaction at NASA (2020): unweighted sex-adjusted stratified analysis</w:t>
      </w:r>
    </w:p>
    <w:p>
      <w:pPr>
        <w:pStyle w:val="TextBody"/>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abbreviations"/>
      <w:r>
        <w:rPr/>
        <w:t>Abbreviations</w:t>
      </w:r>
      <w:bookmarkEnd w:id="0"/>
    </w:p>
    <w:p>
      <w:pPr>
        <w:pStyle w:val="Heading1"/>
        <w:rPr/>
      </w:pPr>
      <w:bookmarkStart w:id="1" w:name="context"/>
      <w:r>
        <w:rPr/>
        <w:t>Context</w:t>
      </w:r>
    </w:p>
    <w:p>
      <w:pPr>
        <w:pStyle w:val="Heading2"/>
        <w:rPr/>
      </w:pPr>
      <w:bookmarkStart w:id="2" w:name="objectives"/>
      <w:r>
        <w:rPr/>
        <w:t>Objectives</w:t>
      </w:r>
      <w:bookmarkEnd w:id="2"/>
    </w:p>
    <w:p>
      <w:pPr>
        <w:pStyle w:val="Heading2"/>
        <w:rPr/>
      </w:pPr>
      <w:bookmarkStart w:id="3" w:name="context"/>
      <w:bookmarkStart w:id="4" w:name="data-reception-and-cleaning"/>
      <w:r>
        <w:rPr/>
        <w:t>Data reception and cleaning</w:t>
      </w:r>
      <w:bookmarkEnd w:id="3"/>
      <w:bookmarkEnd w:id="4"/>
    </w:p>
    <w:p>
      <w:pPr>
        <w:pStyle w:val="Heading1"/>
        <w:rPr/>
      </w:pPr>
      <w:bookmarkStart w:id="5" w:name="methods"/>
      <w:r>
        <w:rPr/>
        <w:t>Methods</w:t>
      </w:r>
    </w:p>
    <w:p>
      <w:pPr>
        <w:pStyle w:val="Heading2"/>
        <w:rPr/>
      </w:pPr>
      <w:bookmarkStart w:id="6" w:name="variables"/>
      <w:r>
        <w:rPr/>
        <w:t>Variables</w:t>
      </w:r>
    </w:p>
    <w:p>
      <w:pPr>
        <w:pStyle w:val="Heading3"/>
        <w:rPr/>
      </w:pPr>
      <w:bookmarkStart w:id="7" w:name="primary-and-secondary-outcomes"/>
      <w:r>
        <w:rPr/>
        <w:t>Primary and secondary outcomes</w:t>
      </w:r>
      <w:bookmarkEnd w:id="7"/>
    </w:p>
    <w:p>
      <w:pPr>
        <w:pStyle w:val="Heading3"/>
        <w:rPr/>
      </w:pPr>
      <w:bookmarkStart w:id="8" w:name="variables"/>
      <w:bookmarkStart w:id="9" w:name="covariates"/>
      <w:r>
        <w:rPr/>
        <w:t>Covariates</w:t>
      </w:r>
      <w:bookmarkEnd w:id="8"/>
      <w:bookmarkEnd w:id="9"/>
    </w:p>
    <w:p>
      <w:pPr>
        <w:pStyle w:val="Heading2"/>
        <w:rPr/>
      </w:pPr>
      <w:bookmarkStart w:id="10" w:name="statistical-analyses"/>
      <w:r>
        <w:rPr/>
        <w:t>Statistical analyses</w:t>
      </w:r>
    </w:p>
    <w:p>
      <w:pPr>
        <w:pStyle w:val="FirstParagraph"/>
        <w:rPr/>
      </w:pPr>
      <w:r>
        <w:rPr/>
        <w:t xml:space="preserve">This analysis was performed using statistical software </w:t>
      </w:r>
      <w:r>
        <w:rPr>
          <w:rStyle w:val="VerbatimChar"/>
        </w:rPr>
        <w:t>R</w:t>
      </w:r>
      <w:r>
        <w:rPr/>
        <w:t xml:space="preserve"> version 4.1.2.</w:t>
      </w:r>
      <w:bookmarkEnd w:id="5"/>
      <w:bookmarkEnd w:id="10"/>
    </w:p>
    <w:p>
      <w:pPr>
        <w:pStyle w:val="Heading1"/>
        <w:rPr/>
      </w:pPr>
      <w:bookmarkStart w:id="11" w:name="results"/>
      <w:bookmarkEnd w:id="11"/>
      <w:r>
        <w:rPr/>
        <w:t>Results</w:t>
      </w:r>
    </w:p>
    <w:p>
      <w:pPr>
        <w:pStyle w:val="Heading2"/>
        <w:rPr/>
      </w:pPr>
      <w:bookmarkStart w:id="12" w:name="study-population-and-follow-up"/>
      <w:r>
        <w:rPr/>
        <w:t>Study population and follow up</w:t>
      </w:r>
    </w:p>
    <w:p>
      <w:pPr>
        <w:pStyle w:val="FirstParagraph"/>
        <w:rPr/>
      </w:pPr>
      <w:r>
        <w:rPr/>
        <w:t>The raw database contained 10588 surveys, of which 1183 incomplete cases were removed. Of the complete cases 1920 participants did not agree nor disagree with at least one of the survey questions. These did not meet the inclusion criteria and were also removed from the analysis. After the inclusion and exclusion criteria were applied the final number of surveys in the analysis is 7485. Table 1 shows the characteristics of the surveys included in the final analysis.</w:t>
      </w:r>
    </w:p>
    <w:p>
      <w:pPr>
        <w:pStyle w:val="TableCaption"/>
        <w:rPr/>
      </w:pPr>
      <w:r>
        <w:rPr>
          <w:b/>
          <w:bCs/>
        </w:rPr>
        <w:t>Table 1</w:t>
      </w:r>
      <w:r>
        <w:rPr/>
        <w:t xml:space="preserve"> caption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 = 7,485</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Sex, n (%)</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Male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4,764 (64%)</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Female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2,721 (36%)</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How satisfied are you with the Telework program in your agency?, n (%)</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22 (0.3%)</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87 (1.2%)</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1,911 (26%)</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5,465 (73%)</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Managers promote communication among different work units., n (%)</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129 (1.7%)</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328 (4.4%)</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3,709 (50%)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bookmarkStart w:id="13" w:name="study-population-and-follow-up"/>
            <w:r>
              <w:rPr>
                <w:rFonts w:ascii="Ubuntu" w:hAnsi="Ubuntu"/>
                <w:b w:val="false"/>
                <w:bCs w:val="false"/>
                <w:i w:val="false"/>
                <w:iCs w:val="false"/>
                <w:strike w:val="false"/>
                <w:dstrike w:val="false"/>
                <w:outline w:val="false"/>
                <w:shadow w:val="false"/>
                <w:color w:val="000000"/>
                <w:sz w:val="22"/>
                <w:szCs w:val="22"/>
                <w:u w:val="none"/>
              </w:rPr>
              <w:t>3,319 (44%)</w:t>
            </w:r>
            <w:bookmarkEnd w:id="13"/>
          </w:p>
        </w:tc>
      </w:tr>
    </w:tbl>
    <w:p>
      <w:pPr>
        <w:pStyle w:val="Heading2"/>
        <w:keepLines/>
        <w:widowControl/>
        <w:numPr>
          <w:ilvl w:val="0"/>
          <w:numId w:val="0"/>
        </w:numPr>
        <w:suppressAutoHyphens w:val="true"/>
        <w:jc w:val="left"/>
        <w:rPr/>
      </w:pPr>
      <w:r>
        <w:rPr/>
      </w:r>
      <w:r>
        <w:br w:type="page"/>
      </w:r>
    </w:p>
    <w:p>
      <w:pPr>
        <w:pStyle w:val="Heading2"/>
        <w:rPr/>
      </w:pPr>
      <w:r>
        <w:rPr/>
        <w:t>Inferential analysis</w:t>
      </w:r>
    </w:p>
    <w:p>
      <w:pPr>
        <w:pStyle w:val="TableCaption"/>
        <w:rPr/>
      </w:pPr>
      <w:r>
        <w:rPr>
          <w:b/>
          <w:bCs/>
        </w:rPr>
        <w:t>Table 2</w:t>
      </w:r>
      <w:r>
        <w:rPr/>
        <w:t xml:space="preserve"> caption</w:t>
      </w:r>
    </w:p>
    <w:tbl>
      <w:tblPr>
        <w:tblW w:w="9648" w:type="dxa"/>
        <w:jc w:val="left"/>
        <w:tblInd w:w="45" w:type="dxa"/>
        <w:tblLayout w:type="fixed"/>
        <w:tblCellMar>
          <w:top w:w="55" w:type="dxa"/>
          <w:left w:w="55" w:type="dxa"/>
          <w:bottom w:w="55" w:type="dxa"/>
          <w:right w:w="55" w:type="dxa"/>
        </w:tblCellMar>
      </w:tblPr>
      <w:tblGrid>
        <w:gridCol w:w="4233"/>
        <w:gridCol w:w="2367"/>
        <w:gridCol w:w="2367"/>
        <w:gridCol w:w="681"/>
      </w:tblGrid>
      <w:tr>
        <w:trPr/>
        <w:tc>
          <w:tcPr>
            <w:tcW w:w="423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r>
          </w:p>
        </w:tc>
        <w:tc>
          <w:tcPr>
            <w:tcW w:w="4734" w:type="dxa"/>
            <w:gridSpan w:val="2"/>
            <w:tcBorders>
              <w:top w:val="single" w:sz="4" w:space="0" w:color="000000"/>
              <w:left w:val="single" w:sz="4" w:space="0" w:color="000000"/>
              <w:bottom w:val="single" w:sz="4" w:space="0" w:color="000000"/>
            </w:tcBorders>
            <w:shd w:fill="B2B2B2" w:val="clear"/>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How satisfied are you with the Telework program in your agency?</w:t>
            </w:r>
          </w:p>
        </w:tc>
        <w:tc>
          <w:tcPr>
            <w:tcW w:w="68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r>
          </w:p>
        </w:tc>
      </w:tr>
      <w:tr>
        <w:trPr/>
        <w:tc>
          <w:tcPr>
            <w:tcW w:w="4233"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Disagreement</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Agreement</w:t>
            </w:r>
          </w:p>
        </w:tc>
        <w:tc>
          <w:tcPr>
            <w:tcW w:w="681"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Total</w:t>
            </w:r>
          </w:p>
        </w:tc>
      </w:tr>
      <w:tr>
        <w:trPr/>
        <w:tc>
          <w:tcPr>
            <w:tcW w:w="4233" w:type="dxa"/>
            <w:tcBorders>
              <w:left w:val="single" w:sz="4" w:space="0" w:color="000000"/>
              <w:bottom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Managers promote communication among different work units.</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681"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9648" w:type="dxa"/>
            <w:gridSpan w:val="4"/>
            <w:tcBorders>
              <w:left w:val="single" w:sz="4" w:space="0" w:color="000000"/>
              <w:bottom w:val="single" w:sz="4" w:space="0" w:color="000000"/>
              <w:right w:val="single" w:sz="4" w:space="0" w:color="000000"/>
            </w:tcBorders>
            <w:vAlign w:val="center"/>
          </w:tcPr>
          <w:p>
            <w:pPr>
              <w:pStyle w:val="Compact"/>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Overall</w:t>
            </w:r>
          </w:p>
        </w:tc>
      </w:tr>
      <w:tr>
        <w:trPr/>
        <w:tc>
          <w:tcPr>
            <w:tcW w:w="4233"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Disagreement</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34</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423</w:t>
            </w:r>
          </w:p>
        </w:tc>
        <w:tc>
          <w:tcPr>
            <w:tcW w:w="681"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457</w:t>
            </w:r>
          </w:p>
        </w:tc>
      </w:tr>
      <w:tr>
        <w:trPr/>
        <w:tc>
          <w:tcPr>
            <w:tcW w:w="4233"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Agreement</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75</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6,953</w:t>
            </w:r>
          </w:p>
        </w:tc>
        <w:tc>
          <w:tcPr>
            <w:tcW w:w="681"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7,028</w:t>
            </w:r>
          </w:p>
        </w:tc>
      </w:tr>
      <w:tr>
        <w:trPr/>
        <w:tc>
          <w:tcPr>
            <w:tcW w:w="4233"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Total</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109</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7,376</w:t>
            </w:r>
          </w:p>
        </w:tc>
        <w:tc>
          <w:tcPr>
            <w:tcW w:w="681"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7,485</w:t>
            </w:r>
          </w:p>
        </w:tc>
      </w:tr>
      <w:tr>
        <w:trPr/>
        <w:tc>
          <w:tcPr>
            <w:tcW w:w="9648" w:type="dxa"/>
            <w:gridSpan w:val="4"/>
            <w:tcBorders>
              <w:left w:val="single" w:sz="4" w:space="0" w:color="000000"/>
              <w:bottom w:val="single" w:sz="4" w:space="0" w:color="000000"/>
              <w:right w:val="single" w:sz="4" w:space="0" w:color="000000"/>
            </w:tcBorders>
            <w:vAlign w:val="center"/>
          </w:tcPr>
          <w:p>
            <w:pPr>
              <w:pStyle w:val="Compact"/>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Males</w:t>
            </w:r>
          </w:p>
        </w:tc>
      </w:tr>
      <w:tr>
        <w:trPr/>
        <w:tc>
          <w:tcPr>
            <w:tcW w:w="4233"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Disagreement</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21</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248</w:t>
            </w:r>
          </w:p>
        </w:tc>
        <w:tc>
          <w:tcPr>
            <w:tcW w:w="681"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269</w:t>
            </w:r>
          </w:p>
        </w:tc>
      </w:tr>
      <w:tr>
        <w:trPr/>
        <w:tc>
          <w:tcPr>
            <w:tcW w:w="4233"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Agreement</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46</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4,449</w:t>
            </w:r>
          </w:p>
        </w:tc>
        <w:tc>
          <w:tcPr>
            <w:tcW w:w="681"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4,495</w:t>
            </w:r>
          </w:p>
        </w:tc>
      </w:tr>
      <w:tr>
        <w:trPr/>
        <w:tc>
          <w:tcPr>
            <w:tcW w:w="4233"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Total</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67</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4,697</w:t>
            </w:r>
          </w:p>
        </w:tc>
        <w:tc>
          <w:tcPr>
            <w:tcW w:w="681"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4,764</w:t>
            </w:r>
          </w:p>
        </w:tc>
      </w:tr>
      <w:tr>
        <w:trPr/>
        <w:tc>
          <w:tcPr>
            <w:tcW w:w="9648" w:type="dxa"/>
            <w:gridSpan w:val="4"/>
            <w:tcBorders>
              <w:left w:val="single" w:sz="4" w:space="0" w:color="000000"/>
              <w:bottom w:val="single" w:sz="4" w:space="0" w:color="000000"/>
              <w:right w:val="single" w:sz="4" w:space="0" w:color="000000"/>
            </w:tcBorders>
            <w:vAlign w:val="center"/>
          </w:tcPr>
          <w:p>
            <w:pPr>
              <w:pStyle w:val="Compact"/>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Females</w:t>
            </w:r>
          </w:p>
        </w:tc>
      </w:tr>
      <w:tr>
        <w:trPr/>
        <w:tc>
          <w:tcPr>
            <w:tcW w:w="4233"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Disagreement</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13</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175</w:t>
            </w:r>
          </w:p>
        </w:tc>
        <w:tc>
          <w:tcPr>
            <w:tcW w:w="681"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188</w:t>
            </w:r>
          </w:p>
        </w:tc>
      </w:tr>
      <w:tr>
        <w:trPr/>
        <w:tc>
          <w:tcPr>
            <w:tcW w:w="4233"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Agreement</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29</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2,504</w:t>
            </w:r>
          </w:p>
        </w:tc>
        <w:tc>
          <w:tcPr>
            <w:tcW w:w="681"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2,533</w:t>
            </w:r>
          </w:p>
        </w:tc>
      </w:tr>
      <w:tr>
        <w:trPr/>
        <w:tc>
          <w:tcPr>
            <w:tcW w:w="4233"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Total</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42</w:t>
            </w:r>
          </w:p>
        </w:tc>
        <w:tc>
          <w:tcPr>
            <w:tcW w:w="2367"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2,679</w:t>
            </w:r>
          </w:p>
        </w:tc>
        <w:tc>
          <w:tcPr>
            <w:tcW w:w="681"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2,721</w:t>
            </w:r>
          </w:p>
        </w:tc>
      </w:tr>
    </w:tbl>
    <w:p>
      <w:pPr>
        <w:pStyle w:val="Heading1"/>
        <w:rPr/>
      </w:pPr>
      <w:bookmarkStart w:id="14" w:name="results"/>
      <w:bookmarkStart w:id="15" w:name="observations-and-limitations"/>
      <w:bookmarkEnd w:id="14"/>
      <w:r>
        <w:rPr/>
        <w:t>Observations and Limitations</w:t>
      </w:r>
      <w:bookmarkEnd w:id="15"/>
    </w:p>
    <w:p>
      <w:pPr>
        <w:pStyle w:val="Heading1"/>
        <w:rPr/>
      </w:pPr>
      <w:bookmarkStart w:id="16" w:name="conclusions"/>
      <w:r>
        <w:rPr/>
        <w:t>Conclusions</w:t>
      </w:r>
      <w:bookmarkEnd w:id="16"/>
    </w:p>
    <w:p>
      <w:pPr>
        <w:pStyle w:val="Heading1"/>
        <w:rPr/>
      </w:pPr>
      <w:bookmarkStart w:id="17" w:name="references"/>
      <w:r>
        <w:rPr/>
        <w:t>References</w:t>
      </w:r>
    </w:p>
    <w:p>
      <w:pPr>
        <w:pStyle w:val="Compact"/>
        <w:numPr>
          <w:ilvl w:val="0"/>
          <w:numId w:val="2"/>
        </w:numPr>
        <w:rPr/>
      </w:pPr>
      <w:r>
        <w:rPr>
          <w:b/>
          <w:bCs/>
        </w:rPr>
        <w:t>SAP-2022-010-GJ-v01</w:t>
      </w:r>
      <w:r>
        <w:rPr/>
        <w:t xml:space="preserve"> – Analytical Plan for Association between leadership commitment and telework satisfaction at NASA (2020): unweighted sex-adjusted stratified analysis</w:t>
      </w:r>
      <w:bookmarkEnd w:id="17"/>
    </w:p>
    <w:p>
      <w:pPr>
        <w:pStyle w:val="Heading1"/>
        <w:rPr/>
      </w:pPr>
      <w:bookmarkStart w:id="18" w:name="appendix"/>
      <w:bookmarkEnd w:id="18"/>
      <w:r>
        <w:rPr/>
        <w:t>Appendix</w:t>
      </w:r>
    </w:p>
    <w:p>
      <w:pPr>
        <w:pStyle w:val="Heading2"/>
        <w:rPr/>
      </w:pPr>
      <w:bookmarkStart w:id="19" w:name="exploratory-data-analysis"/>
      <w:r>
        <w:rPr/>
        <w:t>Exploratory data analysis</w:t>
      </w:r>
      <w:bookmarkEnd w:id="19"/>
    </w:p>
    <w:p>
      <w:pPr>
        <w:pStyle w:val="Heading2"/>
        <w:rPr/>
      </w:pPr>
      <w:bookmarkStart w:id="20" w:name="availability"/>
      <w:r>
        <w:rPr/>
        <w:t>Availability</w:t>
      </w:r>
    </w:p>
    <w:p>
      <w:pPr>
        <w:pStyle w:val="FirstParagraph"/>
        <w:rPr/>
      </w:pPr>
      <w:r>
        <w:rPr/>
        <w:t>Both this document and the corresponding analytical plan (</w:t>
      </w:r>
      <w:r>
        <w:rPr>
          <w:b/>
          <w:bCs/>
        </w:rPr>
        <w:t>SAP-2022-010-GJ-v01</w:t>
      </w:r>
      <w:r>
        <w:rPr/>
        <w:t>) can be downloaded in the following address:</w:t>
      </w:r>
    </w:p>
    <w:p>
      <w:pPr>
        <w:pStyle w:val="TextBody"/>
        <w:rPr/>
      </w:pPr>
      <w:hyperlink r:id="rId2">
        <w:bookmarkStart w:id="21" w:name="availability"/>
        <w:r>
          <w:rPr/>
          <w:t>https://philsf-biostat.github.io/SAR-2022-010-GJ/</w:t>
        </w:r>
      </w:hyperlink>
      <w:bookmarkEnd w:id="21"/>
    </w:p>
    <w:p>
      <w:pPr>
        <w:pStyle w:val="Heading2"/>
        <w:rPr/>
      </w:pPr>
      <w:bookmarkStart w:id="22" w:name="analytical-dataset"/>
      <w:bookmarkEnd w:id="22"/>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val="false"/>
              <w:jc w:val="center"/>
              <w:rPr/>
            </w:pPr>
            <w:r>
              <w:rPr/>
              <w:t>id</w:t>
            </w:r>
          </w:p>
        </w:tc>
        <w:tc>
          <w:tcPr>
            <w:tcW w:w="1319" w:type="dxa"/>
            <w:tcBorders>
              <w:bottom w:val="single" w:sz="6" w:space="0" w:color="000000"/>
            </w:tcBorders>
            <w:vAlign w:val="bottom"/>
          </w:tcPr>
          <w:p>
            <w:pPr>
              <w:pStyle w:val="Compact"/>
              <w:widowControl w:val="false"/>
              <w:jc w:val="center"/>
              <w:rPr/>
            </w:pPr>
            <w:r>
              <w:rPr/>
              <w:t>dsex</w:t>
            </w:r>
          </w:p>
        </w:tc>
        <w:tc>
          <w:tcPr>
            <w:tcW w:w="1321" w:type="dxa"/>
            <w:tcBorders>
              <w:bottom w:val="single" w:sz="6" w:space="0" w:color="000000"/>
            </w:tcBorders>
            <w:vAlign w:val="bottom"/>
          </w:tcPr>
          <w:p>
            <w:pPr>
              <w:pStyle w:val="Compact"/>
              <w:widowControl w:val="false"/>
              <w:jc w:val="center"/>
              <w:rPr/>
            </w:pPr>
            <w:r>
              <w:rPr/>
              <w:t>dv</w:t>
            </w:r>
          </w:p>
        </w:tc>
        <w:tc>
          <w:tcPr>
            <w:tcW w:w="1320" w:type="dxa"/>
            <w:tcBorders>
              <w:bottom w:val="single" w:sz="6" w:space="0" w:color="000000"/>
            </w:tcBorders>
            <w:vAlign w:val="bottom"/>
          </w:tcPr>
          <w:p>
            <w:pPr>
              <w:pStyle w:val="Compact"/>
              <w:widowControl w:val="false"/>
              <w:jc w:val="center"/>
              <w:rPr/>
            </w:pPr>
            <w:r>
              <w:rPr/>
              <w:t>iv</w:t>
            </w:r>
          </w:p>
        </w:tc>
        <w:tc>
          <w:tcPr>
            <w:tcW w:w="1319" w:type="dxa"/>
            <w:tcBorders>
              <w:bottom w:val="single" w:sz="6" w:space="0" w:color="000000"/>
            </w:tcBorders>
            <w:vAlign w:val="bottom"/>
          </w:tcPr>
          <w:p>
            <w:pPr>
              <w:pStyle w:val="Compact"/>
              <w:widowControl w:val="false"/>
              <w:jc w:val="center"/>
              <w:rPr/>
            </w:pPr>
            <w:r>
              <w:rPr/>
              <w:t>dv2</w:t>
            </w:r>
          </w:p>
        </w:tc>
        <w:tc>
          <w:tcPr>
            <w:tcW w:w="1320" w:type="dxa"/>
            <w:tcBorders>
              <w:bottom w:val="single" w:sz="6" w:space="0" w:color="000000"/>
            </w:tcBorders>
            <w:vAlign w:val="bottom"/>
          </w:tcPr>
          <w:p>
            <w:pPr>
              <w:pStyle w:val="Compact"/>
              <w:widowControl w:val="false"/>
              <w:jc w:val="center"/>
              <w:rPr/>
            </w:pPr>
            <w:r>
              <w:rPr/>
              <w:t>iv2</w:t>
            </w:r>
          </w:p>
        </w:tc>
      </w:tr>
      <w:tr>
        <w:trPr/>
        <w:tc>
          <w:tcPr>
            <w:tcW w:w="1320" w:type="dxa"/>
            <w:tcBorders/>
          </w:tcPr>
          <w:p>
            <w:pPr>
              <w:pStyle w:val="Compact"/>
              <w:widowControl w:val="false"/>
              <w:jc w:val="center"/>
              <w:rPr/>
            </w:pPr>
            <w:r>
              <w:rPr/>
              <w:t>1</w:t>
            </w:r>
          </w:p>
        </w:tc>
        <w:tc>
          <w:tcPr>
            <w:tcW w:w="1319" w:type="dxa"/>
            <w:tcBorders/>
          </w:tcPr>
          <w:p>
            <w:pPr>
              <w:pStyle w:val="Compact"/>
              <w:widowControl w:val="false"/>
              <w:rPr/>
            </w:pPr>
            <w:r>
              <w:rPr/>
            </w:r>
          </w:p>
        </w:tc>
        <w:tc>
          <w:tcPr>
            <w:tcW w:w="1321" w:type="dxa"/>
            <w:tcBorders/>
          </w:tcPr>
          <w:p>
            <w:pPr>
              <w:pStyle w:val="Compact"/>
              <w:widowControl w:val="false"/>
              <w:rPr/>
            </w:pPr>
            <w:r>
              <w:rPr/>
            </w:r>
          </w:p>
        </w:tc>
        <w:tc>
          <w:tcPr>
            <w:tcW w:w="1320" w:type="dxa"/>
            <w:tcBorders/>
          </w:tcPr>
          <w:p>
            <w:pPr>
              <w:pStyle w:val="Compact"/>
              <w:widowControl w:val="false"/>
              <w:rPr/>
            </w:pPr>
            <w:r>
              <w:rPr/>
            </w:r>
          </w:p>
        </w:tc>
        <w:tc>
          <w:tcPr>
            <w:tcW w:w="1319" w:type="dxa"/>
            <w:tcBorders/>
          </w:tcPr>
          <w:p>
            <w:pPr>
              <w:pStyle w:val="Compact"/>
              <w:widowControl w:val="false"/>
              <w:rPr/>
            </w:pPr>
            <w:r>
              <w:rPr/>
            </w:r>
          </w:p>
        </w:tc>
        <w:tc>
          <w:tcPr>
            <w:tcW w:w="1320" w:type="dxa"/>
            <w:tcBorders/>
          </w:tcPr>
          <w:p>
            <w:pPr>
              <w:pStyle w:val="Compact"/>
              <w:widowControl w:val="false"/>
              <w:rPr/>
            </w:pPr>
            <w:r>
              <w:rPr/>
            </w:r>
          </w:p>
        </w:tc>
      </w:tr>
      <w:tr>
        <w:trPr/>
        <w:tc>
          <w:tcPr>
            <w:tcW w:w="1320" w:type="dxa"/>
            <w:tcBorders/>
          </w:tcPr>
          <w:p>
            <w:pPr>
              <w:pStyle w:val="Compact"/>
              <w:widowControl w:val="false"/>
              <w:jc w:val="center"/>
              <w:rPr/>
            </w:pPr>
            <w:r>
              <w:rPr/>
              <w:t>2</w:t>
            </w:r>
          </w:p>
        </w:tc>
        <w:tc>
          <w:tcPr>
            <w:tcW w:w="1319" w:type="dxa"/>
            <w:tcBorders/>
          </w:tcPr>
          <w:p>
            <w:pPr>
              <w:pStyle w:val="Compact"/>
              <w:widowControl w:val="false"/>
              <w:rPr/>
            </w:pPr>
            <w:r>
              <w:rPr/>
            </w:r>
          </w:p>
        </w:tc>
        <w:tc>
          <w:tcPr>
            <w:tcW w:w="1321" w:type="dxa"/>
            <w:tcBorders/>
          </w:tcPr>
          <w:p>
            <w:pPr>
              <w:pStyle w:val="Compact"/>
              <w:widowControl w:val="false"/>
              <w:rPr/>
            </w:pPr>
            <w:r>
              <w:rPr/>
            </w:r>
          </w:p>
        </w:tc>
        <w:tc>
          <w:tcPr>
            <w:tcW w:w="1320" w:type="dxa"/>
            <w:tcBorders/>
          </w:tcPr>
          <w:p>
            <w:pPr>
              <w:pStyle w:val="Compact"/>
              <w:widowControl w:val="false"/>
              <w:rPr/>
            </w:pPr>
            <w:r>
              <w:rPr/>
            </w:r>
          </w:p>
        </w:tc>
        <w:tc>
          <w:tcPr>
            <w:tcW w:w="1319" w:type="dxa"/>
            <w:tcBorders/>
          </w:tcPr>
          <w:p>
            <w:pPr>
              <w:pStyle w:val="Compact"/>
              <w:widowControl w:val="false"/>
              <w:rPr/>
            </w:pPr>
            <w:r>
              <w:rPr/>
            </w:r>
          </w:p>
        </w:tc>
        <w:tc>
          <w:tcPr>
            <w:tcW w:w="1320" w:type="dxa"/>
            <w:tcBorders/>
          </w:tcPr>
          <w:p>
            <w:pPr>
              <w:pStyle w:val="Compact"/>
              <w:widowControl w:val="false"/>
              <w:rPr/>
            </w:pPr>
            <w:r>
              <w:rPr/>
            </w:r>
          </w:p>
        </w:tc>
      </w:tr>
      <w:tr>
        <w:trPr/>
        <w:tc>
          <w:tcPr>
            <w:tcW w:w="1320" w:type="dxa"/>
            <w:tcBorders/>
          </w:tcPr>
          <w:p>
            <w:pPr>
              <w:pStyle w:val="Compact"/>
              <w:widowControl w:val="false"/>
              <w:jc w:val="center"/>
              <w:rPr/>
            </w:pPr>
            <w:r>
              <w:rPr/>
              <w:t>3</w:t>
            </w:r>
          </w:p>
        </w:tc>
        <w:tc>
          <w:tcPr>
            <w:tcW w:w="1319" w:type="dxa"/>
            <w:tcBorders/>
          </w:tcPr>
          <w:p>
            <w:pPr>
              <w:pStyle w:val="Compact"/>
              <w:widowControl w:val="false"/>
              <w:rPr/>
            </w:pPr>
            <w:r>
              <w:rPr/>
            </w:r>
          </w:p>
        </w:tc>
        <w:tc>
          <w:tcPr>
            <w:tcW w:w="1321" w:type="dxa"/>
            <w:tcBorders/>
          </w:tcPr>
          <w:p>
            <w:pPr>
              <w:pStyle w:val="Compact"/>
              <w:widowControl w:val="false"/>
              <w:rPr/>
            </w:pPr>
            <w:r>
              <w:rPr/>
            </w:r>
          </w:p>
        </w:tc>
        <w:tc>
          <w:tcPr>
            <w:tcW w:w="1320" w:type="dxa"/>
            <w:tcBorders/>
          </w:tcPr>
          <w:p>
            <w:pPr>
              <w:pStyle w:val="Compact"/>
              <w:widowControl w:val="false"/>
              <w:rPr/>
            </w:pPr>
            <w:r>
              <w:rPr/>
            </w:r>
          </w:p>
        </w:tc>
        <w:tc>
          <w:tcPr>
            <w:tcW w:w="1319" w:type="dxa"/>
            <w:tcBorders/>
          </w:tcPr>
          <w:p>
            <w:pPr>
              <w:pStyle w:val="Compact"/>
              <w:widowControl w:val="false"/>
              <w:rPr/>
            </w:pPr>
            <w:r>
              <w:rPr/>
            </w:r>
          </w:p>
        </w:tc>
        <w:tc>
          <w:tcPr>
            <w:tcW w:w="1320" w:type="dxa"/>
            <w:tcBorders/>
          </w:tcPr>
          <w:p>
            <w:pPr>
              <w:pStyle w:val="Compact"/>
              <w:widowControl w:val="false"/>
              <w:rPr/>
            </w:pPr>
            <w:r>
              <w:rPr/>
            </w:r>
          </w:p>
        </w:tc>
      </w:tr>
      <w:tr>
        <w:trPr/>
        <w:tc>
          <w:tcPr>
            <w:tcW w:w="1320" w:type="dxa"/>
            <w:tcBorders/>
          </w:tcPr>
          <w:p>
            <w:pPr>
              <w:pStyle w:val="Compact"/>
              <w:widowControl w:val="false"/>
              <w:jc w:val="center"/>
              <w:rPr/>
            </w:pPr>
            <w:r>
              <w:rPr/>
              <w:t>…</w:t>
            </w:r>
          </w:p>
        </w:tc>
        <w:tc>
          <w:tcPr>
            <w:tcW w:w="1319" w:type="dxa"/>
            <w:tcBorders/>
          </w:tcPr>
          <w:p>
            <w:pPr>
              <w:pStyle w:val="Compact"/>
              <w:widowControl w:val="false"/>
              <w:rPr/>
            </w:pPr>
            <w:r>
              <w:rPr/>
            </w:r>
          </w:p>
        </w:tc>
        <w:tc>
          <w:tcPr>
            <w:tcW w:w="1321" w:type="dxa"/>
            <w:tcBorders/>
          </w:tcPr>
          <w:p>
            <w:pPr>
              <w:pStyle w:val="Compact"/>
              <w:widowControl w:val="false"/>
              <w:rPr/>
            </w:pPr>
            <w:r>
              <w:rPr/>
            </w:r>
          </w:p>
        </w:tc>
        <w:tc>
          <w:tcPr>
            <w:tcW w:w="1320" w:type="dxa"/>
            <w:tcBorders/>
          </w:tcPr>
          <w:p>
            <w:pPr>
              <w:pStyle w:val="Compact"/>
              <w:widowControl w:val="false"/>
              <w:rPr/>
            </w:pPr>
            <w:r>
              <w:rPr/>
            </w:r>
          </w:p>
        </w:tc>
        <w:tc>
          <w:tcPr>
            <w:tcW w:w="1319" w:type="dxa"/>
            <w:tcBorders/>
          </w:tcPr>
          <w:p>
            <w:pPr>
              <w:pStyle w:val="Compact"/>
              <w:widowControl w:val="false"/>
              <w:rPr/>
            </w:pPr>
            <w:r>
              <w:rPr/>
            </w:r>
          </w:p>
        </w:tc>
        <w:tc>
          <w:tcPr>
            <w:tcW w:w="1320" w:type="dxa"/>
            <w:tcBorders/>
          </w:tcPr>
          <w:p>
            <w:pPr>
              <w:pStyle w:val="Compact"/>
              <w:widowControl w:val="false"/>
              <w:rPr/>
            </w:pPr>
            <w:r>
              <w:rPr/>
            </w:r>
          </w:p>
        </w:tc>
      </w:tr>
      <w:tr>
        <w:trPr/>
        <w:tc>
          <w:tcPr>
            <w:tcW w:w="1320" w:type="dxa"/>
            <w:tcBorders/>
          </w:tcPr>
          <w:p>
            <w:pPr>
              <w:pStyle w:val="Compact"/>
              <w:widowControl w:val="false"/>
              <w:jc w:val="center"/>
              <w:rPr/>
            </w:pPr>
            <w:r>
              <w:rPr/>
              <w:t>N</w:t>
            </w:r>
          </w:p>
        </w:tc>
        <w:tc>
          <w:tcPr>
            <w:tcW w:w="1319" w:type="dxa"/>
            <w:tcBorders/>
          </w:tcPr>
          <w:p>
            <w:pPr>
              <w:pStyle w:val="Compact"/>
              <w:widowControl w:val="false"/>
              <w:rPr/>
            </w:pPr>
            <w:r>
              <w:rPr/>
            </w:r>
          </w:p>
        </w:tc>
        <w:tc>
          <w:tcPr>
            <w:tcW w:w="1321" w:type="dxa"/>
            <w:tcBorders/>
          </w:tcPr>
          <w:p>
            <w:pPr>
              <w:pStyle w:val="Compact"/>
              <w:widowControl w:val="false"/>
              <w:rPr/>
            </w:pPr>
            <w:r>
              <w:rPr/>
            </w:r>
          </w:p>
        </w:tc>
        <w:tc>
          <w:tcPr>
            <w:tcW w:w="1320" w:type="dxa"/>
            <w:tcBorders/>
          </w:tcPr>
          <w:p>
            <w:pPr>
              <w:pStyle w:val="Compact"/>
              <w:widowControl w:val="false"/>
              <w:rPr/>
            </w:pPr>
            <w:r>
              <w:rPr/>
            </w:r>
          </w:p>
        </w:tc>
        <w:tc>
          <w:tcPr>
            <w:tcW w:w="1319" w:type="dxa"/>
            <w:tcBorders/>
          </w:tcPr>
          <w:p>
            <w:pPr>
              <w:pStyle w:val="Compact"/>
              <w:widowControl w:val="false"/>
              <w:rPr/>
            </w:pPr>
            <w:r>
              <w:rPr/>
            </w:r>
          </w:p>
        </w:tc>
        <w:tc>
          <w:tcPr>
            <w:tcW w:w="1320" w:type="dxa"/>
            <w:tcBorders/>
          </w:tcPr>
          <w:p>
            <w:pPr>
              <w:pStyle w:val="Compact"/>
              <w:widowControl w:val="false"/>
              <w:rPr/>
            </w:pPr>
            <w:r>
              <w:rPr/>
            </w:r>
            <w:bookmarkStart w:id="23" w:name="appendix"/>
            <w:bookmarkStart w:id="24" w:name="analytical-dataset"/>
            <w:bookmarkStart w:id="25" w:name="analytical-dataset1"/>
            <w:bookmarkStart w:id="26" w:name="appendix"/>
            <w:bookmarkStart w:id="27" w:name="analytical-dataset"/>
            <w:bookmarkStart w:id="28" w:name="analytical-dataset1"/>
            <w:bookmarkEnd w:id="26"/>
            <w:bookmarkEnd w:id="27"/>
            <w:bookmarkEnd w:id="28"/>
          </w:p>
        </w:tc>
      </w:tr>
    </w:tbl>
    <w:sectPr>
      <w:headerReference w:type="default" r:id="rId3"/>
      <w:footerReference w:type="default" r:id="rId4"/>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5"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5</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5</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pt;margin-top:212.15pt;width:466.45pt;height:164.25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ilsf-biostat.github.io/SAR-2022-010-GJ/"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LibreOffice/7.3.0.3$Linux_X86_64 LibreOffice_project/30$Build-3</Application>
  <AppVersion>15.0000</AppVersion>
  <Pages>5</Pages>
  <Words>415</Words>
  <Characters>2420</Characters>
  <CharactersWithSpaces>2723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2022-02-17T22:04:38Z</dcterms:created>
  <dc:creator>From: Felipe Figueiredo To: ___</dc:creator>
  <dc:description/>
  <dc:language>pt-BR</dc:language>
  <cp:lastModifiedBy>Felipe Figueiredo</cp:lastModifiedBy>
  <dcterms:modified xsi:type="dcterms:W3CDTF">2022-02-17T19:13:32Z</dcterms:modified>
  <cp:revision>1</cp:revision>
  <dc:subject/>
  <dc:title>Association between leadership commitment and telework satisfaction at NASA (2020): unweighted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2022-02-17</vt:lpwstr>
  </property>
  <property fmtid="{D5CDD505-2E9C-101B-9397-08002B2CF9AE}" pid="3" name="output">
    <vt:lpwstr/>
  </property>
  <property fmtid="{D5CDD505-2E9C-101B-9397-08002B2CF9AE}" pid="4" name="subtitle">
    <vt:lpwstr>DOCUMENT: SAR-2022-010-GJ-v01</vt:lpwstr>
  </property>
</Properties>
</file>