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unweighted sex-adjusted stratified analysis</w:t>
      </w:r>
    </w:p>
    <w:p>
      <w:pPr>
        <w:pStyle w:val="Subtitle"/>
        <w:rPr/>
      </w:pPr>
      <w:r>
        <w:rPr/>
        <w:t>DOCUMENT: SAR-2022-011-GJ-v01</w:t>
      </w:r>
    </w:p>
    <w:p>
      <w:pPr>
        <w:pStyle w:val="Author"/>
        <w:rPr/>
      </w:pPr>
      <w:r>
        <w:rPr>
          <w:b/>
          <w:bCs/>
        </w:rPr>
        <w:t>From:</w:t>
      </w:r>
      <w:r>
        <w:rPr/>
        <w:t xml:space="preserve"> Felipe Figueiredo </w:t>
      </w:r>
      <w:r>
        <w:rPr>
          <w:b/>
          <w:bCs/>
        </w:rPr>
        <w:t>To:</w:t>
      </w:r>
      <w:r>
        <w:rPr/>
        <w:t xml:space="preserve"> techsavvy32 (fiverr.com)</w:t>
      </w:r>
    </w:p>
    <w:p>
      <w:pPr>
        <w:pStyle w:val="Date"/>
        <w:rPr/>
      </w:pPr>
      <w:r>
        <w:rPr/>
        <w:t>2022-02-19</w:t>
      </w:r>
    </w:p>
    <w:sdt>
      <w:sdtPr>
        <w:docPartObj>
          <w:docPartGallery w:val="Table of Contents"/>
          <w:docPartUnique w:val="true"/>
        </w:docPartObj>
      </w:sdtPr>
      <w:sdtContent>
        <w:p>
          <w:pPr>
            <w:pStyle w:val="ContentsHeading"/>
            <w:ind w:hanging="0"/>
            <w:rPr/>
          </w:pPr>
          <w:r>
            <w:rPr/>
            <w:t>Table of Contents</w:t>
          </w:r>
        </w:p>
        <w:p>
          <w:pPr>
            <w:pStyle w:val="Normal"/>
            <w:rPr/>
          </w:pPr>
          <w:r>
            <w:fldChar w:fldCharType="begin"/>
          </w:r>
          <w:r>
            <w:rPr/>
            <w:instrText xml:space="preserve"> TOC \z \o "1-3" \u \h</w:instrText>
          </w:r>
          <w:r>
            <w:rPr/>
            <w:fldChar w:fldCharType="separate"/>
          </w:r>
          <w:r>
            <w:rPr/>
          </w:r>
          <w:r>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professional development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abbreviations"/>
      <w:r>
        <w:rPr/>
        <w:t>Abbreviations</w:t>
      </w:r>
      <w:bookmarkEnd w:id="0"/>
    </w:p>
    <w:p>
      <w:pPr>
        <w:pStyle w:val="Heading1"/>
        <w:rPr/>
      </w:pPr>
      <w:r>
        <w:rPr/>
        <w:t>Context</w:t>
      </w:r>
    </w:p>
    <w:p>
      <w:pPr>
        <w:pStyle w:val="Heading2"/>
        <w:rPr/>
      </w:pPr>
      <w:bookmarkStart w:id="1" w:name="objectives"/>
      <w:r>
        <w:rPr/>
        <w:t>Objectives</w:t>
      </w:r>
      <w:bookmarkEnd w:id="1"/>
    </w:p>
    <w:p>
      <w:pPr>
        <w:pStyle w:val="Heading2"/>
        <w:rPr/>
      </w:pPr>
      <w:bookmarkStart w:id="2" w:name="context"/>
      <w:bookmarkStart w:id="3" w:name="data-reception-and-cleaning"/>
      <w:r>
        <w:rPr/>
        <w:t>Data reception and cleaning</w:t>
      </w:r>
      <w:bookmarkEnd w:id="2"/>
      <w:bookmarkEnd w:id="3"/>
    </w:p>
    <w:p>
      <w:pPr>
        <w:pStyle w:val="Heading1"/>
        <w:rPr/>
      </w:pPr>
      <w:bookmarkStart w:id="4" w:name="methods"/>
      <w:r>
        <w:rPr/>
        <w:t>Methods</w:t>
      </w:r>
    </w:p>
    <w:p>
      <w:pPr>
        <w:pStyle w:val="Heading2"/>
        <w:rPr/>
      </w:pPr>
      <w:r>
        <w:rPr/>
        <w:t>Variables</w:t>
      </w:r>
    </w:p>
    <w:p>
      <w:pPr>
        <w:pStyle w:val="Heading3"/>
        <w:rPr/>
      </w:pPr>
      <w:bookmarkStart w:id="5" w:name="primary-and-secondary-outcomes"/>
      <w:r>
        <w:rPr/>
        <w:t>Primary and secondary outcomes</w:t>
      </w:r>
      <w:bookmarkEnd w:id="5"/>
    </w:p>
    <w:p>
      <w:pPr>
        <w:pStyle w:val="Heading3"/>
        <w:rPr/>
      </w:pPr>
      <w:bookmarkStart w:id="6" w:name="variables"/>
      <w:bookmarkStart w:id="7" w:name="covariates"/>
      <w:r>
        <w:rPr/>
        <w:t>Covariates</w:t>
      </w:r>
      <w:bookmarkEnd w:id="6"/>
      <w:bookmarkEnd w:id="7"/>
    </w:p>
    <w:p>
      <w:pPr>
        <w:pStyle w:val="Heading2"/>
        <w:rPr/>
      </w:pPr>
      <w:bookmarkStart w:id="8" w:name="statistical-analyses"/>
      <w:r>
        <w:rPr/>
        <w:t>Statistical analyses</w:t>
      </w:r>
    </w:p>
    <w:p>
      <w:pPr>
        <w:pStyle w:val="FirstParagraph"/>
        <w:rPr/>
      </w:pPr>
      <w:r>
        <w:rPr/>
        <w:t xml:space="preserve">This analysis was performed using statistical software </w:t>
      </w:r>
      <w:r>
        <w:rPr>
          <w:rStyle w:val="VerbatimChar"/>
        </w:rPr>
        <w:t>R</w:t>
      </w:r>
      <w:r>
        <w:rPr/>
        <w:t xml:space="preserve"> version 4.1.2.</w:t>
      </w:r>
      <w:bookmarkEnd w:id="4"/>
      <w:bookmarkEnd w:id="8"/>
    </w:p>
    <w:p>
      <w:pPr>
        <w:pStyle w:val="Heading1"/>
        <w:rPr/>
      </w:pPr>
      <w:r>
        <w:rPr/>
        <w:t>Results</w:t>
      </w:r>
    </w:p>
    <w:p>
      <w:pPr>
        <w:pStyle w:val="Heading2"/>
        <w:rPr/>
      </w:pPr>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Characteristics of the study population.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279"/>
        <w:gridCol w:w="1358"/>
      </w:tblGrid>
      <w:tr>
        <w:trPr/>
        <w:tc>
          <w:tcPr>
            <w:tcW w:w="82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35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7,485</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 (64%)</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 (36%)</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 (1.0%)</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166 (2.2%)</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2,948 (39%)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4,298 (57%)</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(0.9%)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81 (1.1%)</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1,986 (27%)</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5,351 (71%)</w:t>
            </w:r>
          </w:p>
        </w:tc>
      </w:tr>
    </w:tbl>
    <w:p>
      <w:pPr>
        <w:pStyle w:val="TextBody"/>
        <w:rPr/>
      </w:pPr>
      <w:r>
        <w:rPr/>
        <w:t>One third of the employees at NASA are women (36.4%, Table 1). Both survey questions addressed in this study showed most NASA employees demonstrated high levels of satisfaction when the survey was conducted. The proportion of employees that agree or strongly agree with the satisfaction question (q1 – I am given a real opportunity to improve my skills in my organization) was 96.8%. The proportion of employees that agree or strongly agree with leadership commitment (q21 – Supervisors in my work unit support employee development) was 98.0%. Figure 1 shows how both sexes answered these questions.</w:t>
      </w:r>
    </w:p>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p>
    <w:p>
      <w:pPr>
        <w:pStyle w:val="TextBody"/>
        <w:rPr/>
      </w:pPr>
      <w:bookmarkStart w:id="9" w:name="study-population-and-follow-up"/>
      <w:r>
        <w:rPr/>
        <w:t>Men and women tended to answer the satisfaction question at the same rates in 2020. Of the 7246 NASA employees that are in agreement with the satisfaction question, 36.3% were women, and of the 239 employees that are in disagreement, women were 38.9% (Figure 1).</w:t>
      </w:r>
      <w:bookmarkEnd w:id="9"/>
      <w:r>
        <w:br w:type="page"/>
      </w:r>
    </w:p>
    <w:p>
      <w:pPr>
        <w:pStyle w:val="Heading2"/>
        <w:rPr/>
      </w:pPr>
      <w:r>
        <w:rPr/>
        <w:t>Association between leadership commitment and professional development</w:t>
      </w:r>
    </w:p>
    <w:p>
      <w:pPr>
        <w:pStyle w:val="TableCaption"/>
        <w:rPr/>
      </w:pPr>
      <w:r>
        <w:rPr>
          <w:b/>
          <w:bCs/>
        </w:rPr>
        <w:t>Table 2</w:t>
      </w:r>
      <w:r>
        <w:rPr/>
        <w:t xml:space="preserve"> caption</w:t>
      </w:r>
    </w:p>
    <w:tbl>
      <w:tblPr>
        <w:tblW w:w="9663" w:type="dxa"/>
        <w:jc w:val="left"/>
        <w:tblInd w:w="30" w:type="dxa"/>
        <w:tblLayout w:type="fixed"/>
        <w:tblCellMar>
          <w:top w:w="55" w:type="dxa"/>
          <w:left w:w="55" w:type="dxa"/>
          <w:bottom w:w="55" w:type="dxa"/>
          <w:right w:w="55" w:type="dxa"/>
        </w:tblCellMar>
      </w:tblPr>
      <w:tblGrid>
        <w:gridCol w:w="4243"/>
        <w:gridCol w:w="2365"/>
        <w:gridCol w:w="2366"/>
        <w:gridCol w:w="688"/>
      </w:tblGrid>
      <w:tr>
        <w:trPr/>
        <w:tc>
          <w:tcPr>
            <w:tcW w:w="4243"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c>
          <w:tcPr>
            <w:tcW w:w="4731" w:type="dxa"/>
            <w:gridSpan w:val="2"/>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688"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Disagreement</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Agreement</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Total</w:t>
            </w:r>
          </w:p>
        </w:tc>
      </w:tr>
      <w:tr>
        <w:trPr/>
        <w:tc>
          <w:tcPr>
            <w:tcW w:w="4243"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9662" w:type="dxa"/>
            <w:gridSpan w:val="4"/>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Overall</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Disagreement</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113</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35</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148</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Agreement</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126</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7,211</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7,337</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Total</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239</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7,246</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7,485</w:t>
            </w:r>
          </w:p>
        </w:tc>
      </w:tr>
      <w:tr>
        <w:trPr/>
        <w:tc>
          <w:tcPr>
            <w:tcW w:w="9662" w:type="dxa"/>
            <w:gridSpan w:val="4"/>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Males</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Disagreement</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69</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84</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Agreement</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77</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4,603</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4,680</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Total</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146</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4,618</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w:t>
            </w:r>
          </w:p>
        </w:tc>
      </w:tr>
      <w:tr>
        <w:trPr/>
        <w:tc>
          <w:tcPr>
            <w:tcW w:w="9662" w:type="dxa"/>
            <w:gridSpan w:val="4"/>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Females</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Disagreement</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44</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64</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Agreement</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49</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2,608</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2,657</w:t>
            </w:r>
          </w:p>
        </w:tc>
      </w:tr>
      <w:tr>
        <w:trPr/>
        <w:tc>
          <w:tcPr>
            <w:tcW w:w="4243"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Total</w:t>
            </w:r>
          </w:p>
        </w:tc>
        <w:tc>
          <w:tcPr>
            <w:tcW w:w="236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93</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2,628</w:t>
            </w:r>
          </w:p>
        </w:tc>
        <w:tc>
          <w:tcPr>
            <w:tcW w:w="68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w:t>
            </w:r>
          </w:p>
        </w:tc>
      </w:tr>
    </w:tbl>
    <w:p>
      <w:pPr>
        <w:pStyle w:val="TextBody"/>
        <w:rPr/>
      </w:pPr>
      <w:r>
        <w:rPr/>
        <w:t>Odds ratios + chi-square:</w:t>
      </w:r>
    </w:p>
    <w:p>
      <w:pPr>
        <w:pStyle w:val="Compact"/>
        <w:numPr>
          <w:ilvl w:val="0"/>
          <w:numId w:val="2"/>
        </w:numPr>
        <w:rPr/>
      </w:pPr>
      <w:r>
        <w:rPr/>
        <w:t>Overall: OR: 183.33, 95% CI: [121.86, 282.44], p&lt;0.001</w:t>
      </w:r>
    </w:p>
    <w:p>
      <w:pPr>
        <w:pStyle w:val="Compact"/>
        <w:numPr>
          <w:ilvl w:val="0"/>
          <w:numId w:val="2"/>
        </w:numPr>
        <w:rPr/>
      </w:pPr>
      <w:r>
        <w:rPr/>
        <w:t>Adjusted CMH: OR: 180.62, 95% CI: [118.65, 274.96], p&lt;0.001</w:t>
      </w:r>
    </w:p>
    <w:p>
      <w:pPr>
        <w:pStyle w:val="Compact"/>
        <w:numPr>
          <w:ilvl w:val="0"/>
          <w:numId w:val="2"/>
        </w:numPr>
        <w:rPr/>
      </w:pPr>
      <w:r>
        <w:rPr/>
        <w:t>Men: OR: 270.42, 95% CI: [151.84, 505.11], p&lt;0.001</w:t>
      </w:r>
    </w:p>
    <w:p>
      <w:pPr>
        <w:pStyle w:val="Compact"/>
        <w:numPr>
          <w:ilvl w:val="0"/>
          <w:numId w:val="2"/>
        </w:numPr>
        <w:rPr/>
      </w:pPr>
      <w:bookmarkStart w:id="10" w:name="results"/>
      <w:bookmarkStart w:id="11" w:name="X7ee7a21f0baaa6a77a63e632fa46ee5af07923b"/>
      <w:r>
        <w:rPr/>
        <w:t>Women: OR: 115.35, 95% CI: [64.12, 215.70], p&lt;0.001</w:t>
      </w:r>
      <w:bookmarkEnd w:id="10"/>
      <w:bookmarkEnd w:id="11"/>
    </w:p>
    <w:p>
      <w:pPr>
        <w:pStyle w:val="Heading1"/>
        <w:rPr/>
      </w:pPr>
      <w:bookmarkStart w:id="12" w:name="observations-and-limitations"/>
      <w:r>
        <w:rPr/>
        <w:t>Observations and Limitations</w:t>
      </w:r>
      <w:bookmarkEnd w:id="12"/>
    </w:p>
    <w:p>
      <w:pPr>
        <w:pStyle w:val="Heading1"/>
        <w:rPr/>
      </w:pPr>
      <w:r>
        <w:rPr/>
        <w:t>Conclusions</w:t>
      </w:r>
    </w:p>
    <w:p>
      <w:pPr>
        <w:pStyle w:val="FirstParagraph"/>
        <w:rPr/>
      </w:pPr>
      <w:bookmarkStart w:id="13" w:name="conclusions"/>
      <w:r>
        <w:rPr/>
        <w:t>One third of NASA employees in this study are women. Both men and women tended to derive satisfaction at the workplace in similar rates in 2020.</w:t>
      </w:r>
      <w:bookmarkEnd w:id="13"/>
    </w:p>
    <w:p>
      <w:pPr>
        <w:pStyle w:val="Heading1"/>
        <w:rPr/>
      </w:pPr>
      <w:bookmarkStart w:id="14" w:name="references"/>
      <w:r>
        <w:rPr/>
        <w:t>References</w:t>
      </w:r>
    </w:p>
    <w:p>
      <w:pPr>
        <w:pStyle w:val="Compact"/>
        <w:numPr>
          <w:ilvl w:val="0"/>
          <w:numId w:val="4"/>
        </w:numPr>
        <w:rPr/>
      </w:pPr>
      <w:r>
        <w:rPr>
          <w:b/>
          <w:bCs/>
        </w:rPr>
        <w:t>SAP-2022-011-GJ-v01</w:t>
      </w:r>
      <w:r>
        <w:rPr/>
        <w:t xml:space="preserve"> – Analytical Plan for Association between leadership commitment and professional development at NASA (2020): unweighted sex-adjusted stratified analysis</w:t>
      </w:r>
      <w:bookmarkEnd w:id="14"/>
    </w:p>
    <w:p>
      <w:pPr>
        <w:pStyle w:val="Heading1"/>
        <w:rPr/>
      </w:pPr>
      <w:bookmarkStart w:id="15" w:name="appendix"/>
      <w:bookmarkEnd w:id="15"/>
      <w:r>
        <w:rPr/>
        <w:t>Appendix</w:t>
      </w:r>
    </w:p>
    <w:p>
      <w:pPr>
        <w:pStyle w:val="Heading2"/>
        <w:rPr/>
      </w:pPr>
      <w:bookmarkStart w:id="16" w:name="exploratory-data-analysis"/>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16"/>
    </w:p>
    <w:p>
      <w:pPr>
        <w:pStyle w:val="Heading2"/>
        <w:rPr/>
      </w:pPr>
      <w:r>
        <w:rPr/>
        <w:t>Availability</w:t>
      </w:r>
    </w:p>
    <w:p>
      <w:pPr>
        <w:pStyle w:val="FirstParagraph"/>
        <w:rPr/>
      </w:pPr>
      <w:r>
        <w:rPr/>
        <w:t>Both this document and the corresponding analytical plan (</w:t>
      </w:r>
      <w:r>
        <w:rPr>
          <w:b/>
          <w:bCs/>
        </w:rPr>
        <w:t>SAP-2022-011-GJ-v01</w:t>
      </w:r>
      <w:r>
        <w:rPr/>
        <w:t>) can be downloaded in the following address:</w:t>
      </w:r>
    </w:p>
    <w:p>
      <w:pPr>
        <w:pStyle w:val="TextBody"/>
        <w:rPr/>
      </w:pPr>
      <w:hyperlink r:id="rId4">
        <w:bookmarkStart w:id="17" w:name="availability"/>
        <w:r>
          <w:rPr/>
          <w:t>https://philsf-biostat.github.io/SAR-2022-011-GJ/</w:t>
        </w:r>
      </w:hyperlink>
      <w:bookmarkEnd w:id="17"/>
    </w:p>
    <w:p>
      <w:pPr>
        <w:pStyle w:val="Heading2"/>
        <w:rPr/>
      </w:pPr>
      <w:bookmarkStart w:id="18" w:name="analytical-dataset"/>
      <w:bookmarkEnd w:id="18"/>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1"/>
        <w:gridCol w:w="1318"/>
        <w:gridCol w:w="1320"/>
      </w:tblGrid>
      <w:tr>
        <w:trPr>
          <w:tblHeader w:val="true"/>
        </w:trPr>
        <w:tc>
          <w:tcPr>
            <w:tcW w:w="1320" w:type="dxa"/>
            <w:tcBorders>
              <w:bottom w:val="single" w:sz="6" w:space="0" w:color="000000"/>
            </w:tcBorders>
            <w:vAlign w:val="bottom"/>
          </w:tcPr>
          <w:p>
            <w:pPr>
              <w:pStyle w:val="Compact"/>
              <w:widowControl w:val="false"/>
              <w:jc w:val="center"/>
              <w:rPr/>
            </w:pPr>
            <w:r>
              <w:rPr/>
              <w:t>id</w:t>
            </w:r>
          </w:p>
        </w:tc>
        <w:tc>
          <w:tcPr>
            <w:tcW w:w="1319" w:type="dxa"/>
            <w:tcBorders>
              <w:bottom w:val="single" w:sz="6" w:space="0" w:color="000000"/>
            </w:tcBorders>
            <w:vAlign w:val="bottom"/>
          </w:tcPr>
          <w:p>
            <w:pPr>
              <w:pStyle w:val="Compact"/>
              <w:widowControl w:val="false"/>
              <w:jc w:val="center"/>
              <w:rPr/>
            </w:pPr>
            <w:r>
              <w:rPr/>
              <w:t>dsex</w:t>
            </w:r>
          </w:p>
        </w:tc>
        <w:tc>
          <w:tcPr>
            <w:tcW w:w="1321" w:type="dxa"/>
            <w:tcBorders>
              <w:bottom w:val="single" w:sz="6" w:space="0" w:color="000000"/>
            </w:tcBorders>
            <w:vAlign w:val="bottom"/>
          </w:tcPr>
          <w:p>
            <w:pPr>
              <w:pStyle w:val="Compact"/>
              <w:widowControl w:val="false"/>
              <w:jc w:val="center"/>
              <w:rPr/>
            </w:pPr>
            <w:r>
              <w:rPr/>
              <w:t>dv</w:t>
            </w:r>
          </w:p>
        </w:tc>
        <w:tc>
          <w:tcPr>
            <w:tcW w:w="1321" w:type="dxa"/>
            <w:tcBorders>
              <w:bottom w:val="single" w:sz="6" w:space="0" w:color="000000"/>
            </w:tcBorders>
            <w:vAlign w:val="bottom"/>
          </w:tcPr>
          <w:p>
            <w:pPr>
              <w:pStyle w:val="Compact"/>
              <w:widowControl w:val="false"/>
              <w:jc w:val="center"/>
              <w:rPr/>
            </w:pPr>
            <w:r>
              <w:rPr/>
              <w:t>iv</w:t>
            </w:r>
          </w:p>
        </w:tc>
        <w:tc>
          <w:tcPr>
            <w:tcW w:w="1318" w:type="dxa"/>
            <w:tcBorders>
              <w:bottom w:val="single" w:sz="6" w:space="0" w:color="000000"/>
            </w:tcBorders>
            <w:vAlign w:val="bottom"/>
          </w:tcPr>
          <w:p>
            <w:pPr>
              <w:pStyle w:val="Compact"/>
              <w:widowControl w:val="false"/>
              <w:jc w:val="center"/>
              <w:rPr/>
            </w:pPr>
            <w:r>
              <w:rPr/>
              <w:t>dv2</w:t>
            </w:r>
          </w:p>
        </w:tc>
        <w:tc>
          <w:tcPr>
            <w:tcW w:w="1320" w:type="dxa"/>
            <w:tcBorders>
              <w:bottom w:val="single" w:sz="6" w:space="0" w:color="000000"/>
            </w:tcBorders>
            <w:vAlign w:val="bottom"/>
          </w:tcPr>
          <w:p>
            <w:pPr>
              <w:pStyle w:val="Compact"/>
              <w:widowControl w:val="false"/>
              <w:jc w:val="center"/>
              <w:rPr/>
            </w:pPr>
            <w:r>
              <w:rPr/>
              <w:t>iv2</w:t>
            </w:r>
          </w:p>
        </w:tc>
      </w:tr>
      <w:tr>
        <w:trPr/>
        <w:tc>
          <w:tcPr>
            <w:tcW w:w="1320" w:type="dxa"/>
            <w:tcBorders/>
          </w:tcPr>
          <w:p>
            <w:pPr>
              <w:pStyle w:val="Compact"/>
              <w:widowControl w:val="false"/>
              <w:jc w:val="center"/>
              <w:rPr/>
            </w:pPr>
            <w:r>
              <w:rPr/>
              <w:t>1</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1" w:type="dxa"/>
            <w:tcBorders/>
          </w:tcPr>
          <w:p>
            <w:pPr>
              <w:pStyle w:val="Compact"/>
              <w:widowControl w:val="false"/>
              <w:rPr/>
            </w:pPr>
            <w:r>
              <w:rPr/>
            </w:r>
          </w:p>
        </w:tc>
        <w:tc>
          <w:tcPr>
            <w:tcW w:w="1318"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2</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1" w:type="dxa"/>
            <w:tcBorders/>
          </w:tcPr>
          <w:p>
            <w:pPr>
              <w:pStyle w:val="Compact"/>
              <w:widowControl w:val="false"/>
              <w:rPr/>
            </w:pPr>
            <w:r>
              <w:rPr/>
            </w:r>
          </w:p>
        </w:tc>
        <w:tc>
          <w:tcPr>
            <w:tcW w:w="1318"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3</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1" w:type="dxa"/>
            <w:tcBorders/>
          </w:tcPr>
          <w:p>
            <w:pPr>
              <w:pStyle w:val="Compact"/>
              <w:widowControl w:val="false"/>
              <w:rPr/>
            </w:pPr>
            <w:r>
              <w:rPr/>
            </w:r>
          </w:p>
        </w:tc>
        <w:tc>
          <w:tcPr>
            <w:tcW w:w="1318"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1" w:type="dxa"/>
            <w:tcBorders/>
          </w:tcPr>
          <w:p>
            <w:pPr>
              <w:pStyle w:val="Compact"/>
              <w:widowControl w:val="false"/>
              <w:rPr/>
            </w:pPr>
            <w:r>
              <w:rPr/>
            </w:r>
          </w:p>
        </w:tc>
        <w:tc>
          <w:tcPr>
            <w:tcW w:w="1318" w:type="dxa"/>
            <w:tcBorders/>
          </w:tcPr>
          <w:p>
            <w:pPr>
              <w:pStyle w:val="Compact"/>
              <w:widowControl w:val="false"/>
              <w:rPr/>
            </w:pPr>
            <w:r>
              <w:rPr/>
            </w:r>
          </w:p>
        </w:tc>
        <w:tc>
          <w:tcPr>
            <w:tcW w:w="1320" w:type="dxa"/>
            <w:tcBorders/>
          </w:tcPr>
          <w:p>
            <w:pPr>
              <w:pStyle w:val="Compact"/>
              <w:widowControl w:val="false"/>
              <w:rPr/>
            </w:pPr>
            <w:r>
              <w:rPr/>
            </w:r>
          </w:p>
        </w:tc>
      </w:tr>
      <w:tr>
        <w:trPr/>
        <w:tc>
          <w:tcPr>
            <w:tcW w:w="1320" w:type="dxa"/>
            <w:tcBorders/>
          </w:tcPr>
          <w:p>
            <w:pPr>
              <w:pStyle w:val="Compact"/>
              <w:widowControl w:val="false"/>
              <w:jc w:val="center"/>
              <w:rPr/>
            </w:pPr>
            <w:r>
              <w:rPr/>
              <w:t>N</w:t>
            </w:r>
          </w:p>
        </w:tc>
        <w:tc>
          <w:tcPr>
            <w:tcW w:w="1319" w:type="dxa"/>
            <w:tcBorders/>
          </w:tcPr>
          <w:p>
            <w:pPr>
              <w:pStyle w:val="Compact"/>
              <w:widowControl w:val="false"/>
              <w:rPr/>
            </w:pPr>
            <w:r>
              <w:rPr/>
            </w:r>
          </w:p>
        </w:tc>
        <w:tc>
          <w:tcPr>
            <w:tcW w:w="1321" w:type="dxa"/>
            <w:tcBorders/>
          </w:tcPr>
          <w:p>
            <w:pPr>
              <w:pStyle w:val="Compact"/>
              <w:widowControl w:val="false"/>
              <w:rPr/>
            </w:pPr>
            <w:r>
              <w:rPr/>
            </w:r>
          </w:p>
        </w:tc>
        <w:tc>
          <w:tcPr>
            <w:tcW w:w="1321" w:type="dxa"/>
            <w:tcBorders/>
          </w:tcPr>
          <w:p>
            <w:pPr>
              <w:pStyle w:val="Compact"/>
              <w:widowControl w:val="false"/>
              <w:rPr/>
            </w:pPr>
            <w:r>
              <w:rPr/>
            </w:r>
          </w:p>
        </w:tc>
        <w:tc>
          <w:tcPr>
            <w:tcW w:w="1318" w:type="dxa"/>
            <w:tcBorders/>
          </w:tcPr>
          <w:p>
            <w:pPr>
              <w:pStyle w:val="Compact"/>
              <w:widowControl w:val="false"/>
              <w:rPr/>
            </w:pPr>
            <w:r>
              <w:rPr/>
            </w:r>
          </w:p>
        </w:tc>
        <w:tc>
          <w:tcPr>
            <w:tcW w:w="1320" w:type="dxa"/>
            <w:tcBorders/>
          </w:tcPr>
          <w:p>
            <w:pPr>
              <w:pStyle w:val="Compact"/>
              <w:widowControl w:val="false"/>
              <w:rPr/>
            </w:pPr>
            <w:r>
              <w:rPr/>
            </w:r>
            <w:bookmarkStart w:id="19" w:name="analytical-dataset1"/>
            <w:bookmarkStart w:id="20" w:name="analytical-dataset1"/>
            <w:bookmarkEnd w:id="20"/>
          </w:p>
        </w:tc>
      </w:tr>
    </w:tbl>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8pt;margin-top:236.5pt;width:466.35pt;height:164.1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hilsf-biostat.github.io/SAR-2022-011-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LibreOffice/7.3.0.3$Linux_X86_64 LibreOffice_project/30$Build-3</Application>
  <AppVersion>15.0000</AppVersion>
  <Pages>7</Pages>
  <Words>654</Words>
  <Characters>3724</Characters>
  <CharactersWithSpaces>4254</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2022-02-19T17:44:06Z</dcterms:created>
  <dc:creator>From: Felipe Figueiredo To: techsavvy32 (fiverr.com)</dc:creator>
  <dc:description/>
  <dc:language>pt-BR</dc:language>
  <cp:lastModifiedBy>Felipe Figueiredo</cp:lastModifiedBy>
  <dcterms:modified xsi:type="dcterms:W3CDTF">2022-02-19T14:56:26Z</dcterms:modified>
  <cp:revision>4</cp:revision>
  <dc:subject/>
  <dc:title>Association between leadership commitment and professional development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y fmtid="{D5CDD505-2E9C-101B-9397-08002B2CF9AE}" pid="4" name="subtitle">
    <vt:lpwstr>DOCUMENT: SAR-2022-011-GJ-v01</vt:lpwstr>
  </property>
</Properties>
</file>