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>
          <w:lang w:val="pt-BR"/>
        </w:rPr>
      </w:pPr>
      <w:r>
        <w:rPr>
          <w:lang w:val="pt-BR"/>
        </w:rPr>
        <w:t>Plano Analítico para Consistência inter-avaliador de mensurações radiológicas para diagnóstico de sindesmose</w:t>
      </w:r>
    </w:p>
    <w:p>
      <w:pPr>
        <w:pStyle w:val="Subtitle"/>
        <w:rPr>
          <w:lang w:val="pt-BR"/>
        </w:rPr>
      </w:pPr>
      <w:r>
        <w:rPr>
          <w:lang w:val="pt-BR"/>
        </w:rPr>
        <w:t>DOCUMENTO: SAP-2022-012-IC-v01</w:t>
      </w:r>
    </w:p>
    <w:p>
      <w:pPr>
        <w:pStyle w:val="Author"/>
        <w:rPr>
          <w:lang w:val="pt-BR"/>
        </w:rPr>
      </w:pPr>
      <w:r>
        <w:rPr>
          <w:b/>
          <w:bCs/>
          <w:lang w:val="pt-BR"/>
        </w:rPr>
        <w:t>De:</w:t>
      </w:r>
      <w:r>
        <w:rPr>
          <w:lang w:val="pt-BR"/>
        </w:rPr>
        <w:t xml:space="preserve"> Felipe Figueiredo </w:t>
      </w:r>
      <w:r>
        <w:rPr>
          <w:b/>
          <w:bCs/>
          <w:lang w:val="pt-BR"/>
        </w:rPr>
        <w:t>Para:</w:t>
      </w:r>
      <w:r>
        <w:rPr>
          <w:lang w:val="pt-BR"/>
        </w:rPr>
        <w:t xml:space="preserve"> Isnar Castro</w:t>
      </w:r>
    </w:p>
    <w:p>
      <w:pPr>
        <w:pStyle w:val="Date"/>
        <w:rPr>
          <w:lang w:val="pt-BR"/>
        </w:rPr>
      </w:pPr>
      <w:r>
        <w:rPr>
          <w:lang w:val="pt-BR"/>
        </w:rPr>
        <w:t>2022-03-15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lang w:val="pt-BR" w:eastAsia="en-US" w:bidi="ar-SA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  <w:lang w:val="pt-BR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 w:eastAsia="en-US" w:bidi="ar-SA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 w:eastAsia="en-US" w:bidi="ar-SA"/>
            </w:rPr>
            <w:fldChar w:fldCharType="separate"/>
          </w:r>
          <w:hyperlink w:anchor="__RefHeading___Toc531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15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17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19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2.2  Hipóteses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21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2.3  Desenho do estudo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2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  Dados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25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  Dados brutos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27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29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  Parâmetros do estudo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31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4.1  Critérios de inclusão e exclusão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3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  Exposições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35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4.3  Desfechos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37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4.4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39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41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534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5345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5347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5.1.3  Modelagem estatística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5349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5.1.4  Dados faltantes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51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5.2  Significância e Intervalos de Confiança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5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55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57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59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5361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  Apêndice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363_1779937678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8.1  Disponibilidade</w:t>
            </w:r>
            <w:r>
              <w:rPr>
                <w:rStyle w:val="IndexLink"/>
              </w:rPr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itle"/>
        <w:rPr>
          <w:lang w:val="pt-BR"/>
        </w:rPr>
      </w:pPr>
      <w:r>
        <w:rPr>
          <w:lang w:val="pt-BR"/>
        </w:rPr>
        <w:t>Plano Analítico para Consistência inter-avaliador de mensurações radiológicas para diagnóstico de sindesmose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 inicial</w:t>
            </w:r>
          </w:p>
        </w:tc>
      </w:tr>
    </w:tbl>
    <w:p>
      <w:pPr>
        <w:pStyle w:val="Normal"/>
        <w:rPr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/>
        </w:rPr>
      </w:pPr>
      <w:bookmarkStart w:id="0" w:name="__RefHeading___Toc5313_1779937678"/>
      <w:bookmarkStart w:id="1" w:name="lista-de-abreviaturas"/>
      <w:bookmarkEnd w:id="0"/>
      <w:r>
        <w:rPr>
          <w:lang w:val="pt-BR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CV: coeficiente de variação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lang w:val="pt-BR"/>
        </w:rPr>
        <w:t>ICC: Correlação intra-classe (</w:t>
      </w:r>
      <w:r>
        <w:rPr>
          <w:i/>
          <w:iCs/>
          <w:lang w:val="pt-BR"/>
        </w:rPr>
        <w:t>intra-class correlation</w:t>
      </w:r>
      <w:r>
        <w:rPr>
          <w:lang w:val="pt-BR"/>
        </w:rPr>
        <w:t>)</w:t>
      </w:r>
      <w:bookmarkEnd w:id="1"/>
    </w:p>
    <w:p>
      <w:pPr>
        <w:pStyle w:val="Heading1"/>
        <w:rPr>
          <w:lang w:val="pt-BR"/>
        </w:rPr>
      </w:pPr>
      <w:bookmarkStart w:id="2" w:name="__RefHeading___Toc5315_1779937678"/>
      <w:bookmarkEnd w:id="2"/>
      <w:r>
        <w:rPr>
          <w:lang w:val="pt-BR"/>
        </w:rPr>
        <w:t>Contexto</w:t>
      </w:r>
    </w:p>
    <w:p>
      <w:pPr>
        <w:pStyle w:val="Heading2"/>
        <w:rPr>
          <w:lang w:val="pt-BR"/>
        </w:rPr>
      </w:pPr>
      <w:bookmarkStart w:id="3" w:name="__RefHeading___Toc5317_1779937678"/>
      <w:bookmarkEnd w:id="3"/>
      <w:r>
        <w:rPr>
          <w:lang w:val="pt-BR"/>
        </w:rPr>
        <w:t>Objetivos</w:t>
      </w:r>
    </w:p>
    <w:p>
      <w:pPr>
        <w:pStyle w:val="FirstParagraph"/>
        <w:rPr>
          <w:lang w:val="pt-BR"/>
        </w:rPr>
      </w:pPr>
      <w:bookmarkStart w:id="4" w:name="objetivos"/>
      <w:r>
        <w:rPr>
          <w:lang w:val="pt-BR"/>
        </w:rPr>
        <w:t>Avaliar consistência de mensurações radiográficas para diagnóstico de sindesmose tibiofibular distal, em tornozelos normais, nas posições de flexão dorsal 15 graus e flexão plantar 20 graus, através de cortes tomográficos no plano axial.</w:t>
      </w:r>
      <w:bookmarkEnd w:id="4"/>
    </w:p>
    <w:p>
      <w:pPr>
        <w:pStyle w:val="Heading2"/>
        <w:rPr>
          <w:lang w:val="pt-BR"/>
        </w:rPr>
      </w:pPr>
      <w:bookmarkStart w:id="5" w:name="__RefHeading___Toc5319_1779937678"/>
      <w:bookmarkEnd w:id="5"/>
      <w:r>
        <w:rPr>
          <w:lang w:val="pt-BR"/>
        </w:rPr>
        <w:t>Hipóteses</w:t>
      </w:r>
    </w:p>
    <w:p>
      <w:pPr>
        <w:pStyle w:val="FirstParagraph"/>
        <w:rPr>
          <w:lang w:val="pt-BR"/>
        </w:rPr>
      </w:pPr>
      <w:bookmarkStart w:id="6" w:name="hipóteses"/>
      <w:r>
        <w:rPr>
          <w:lang w:val="pt-BR"/>
        </w:rPr>
        <w:t>N/A</w:t>
      </w:r>
      <w:bookmarkEnd w:id="6"/>
    </w:p>
    <w:p>
      <w:pPr>
        <w:pStyle w:val="Heading2"/>
        <w:rPr>
          <w:lang w:val="pt-BR"/>
        </w:rPr>
      </w:pPr>
      <w:bookmarkStart w:id="7" w:name="__RefHeading___Toc5321_1779937678"/>
      <w:bookmarkEnd w:id="7"/>
      <w:r>
        <w:rPr>
          <w:lang w:val="pt-BR"/>
        </w:rPr>
        <w:t>Desenho do estudo</w:t>
      </w:r>
    </w:p>
    <w:p>
      <w:pPr>
        <w:pStyle w:val="FirstParagraph"/>
        <w:rPr>
          <w:lang w:val="pt-BR"/>
        </w:rPr>
      </w:pPr>
      <w:bookmarkStart w:id="8" w:name="desenho-do-estudo"/>
      <w:bookmarkStart w:id="9" w:name="contexto"/>
      <w:r>
        <w:rPr>
          <w:lang w:val="pt-BR"/>
        </w:rPr>
        <w:t>Observacional, com coleta de dados transversal.</w:t>
      </w:r>
      <w:bookmarkEnd w:id="8"/>
      <w:bookmarkEnd w:id="9"/>
    </w:p>
    <w:p>
      <w:pPr>
        <w:pStyle w:val="Heading1"/>
        <w:rPr>
          <w:lang w:val="pt-BR"/>
        </w:rPr>
      </w:pPr>
      <w:bookmarkStart w:id="10" w:name="__RefHeading___Toc5323_1779937678"/>
      <w:bookmarkEnd w:id="10"/>
      <w:r>
        <w:rPr>
          <w:lang w:val="pt-BR"/>
        </w:rPr>
        <w:t>Dados</w:t>
      </w:r>
    </w:p>
    <w:p>
      <w:pPr>
        <w:pStyle w:val="Heading2"/>
        <w:rPr>
          <w:lang w:val="pt-BR"/>
        </w:rPr>
      </w:pPr>
      <w:bookmarkStart w:id="11" w:name="__RefHeading___Toc5325_1779937678"/>
      <w:bookmarkEnd w:id="11"/>
      <w:r>
        <w:rPr>
          <w:lang w:val="pt-BR"/>
        </w:rPr>
        <w:t>Dados brutos</w:t>
      </w:r>
    </w:p>
    <w:p>
      <w:pPr>
        <w:pStyle w:val="FirstParagraph"/>
        <w:rPr>
          <w:lang w:val="pt-BR"/>
        </w:rPr>
      </w:pPr>
      <w:r>
        <w:rPr>
          <w:lang w:val="pt-BR"/>
        </w:rPr>
        <w:t>A base de dados original possuía 13 variáveis coletadas de 174 observações.</w:t>
      </w:r>
    </w:p>
    <w:p>
      <w:pPr>
        <w:pStyle w:val="TextBody"/>
        <w:rPr>
          <w:lang w:val="pt-BR"/>
        </w:rPr>
      </w:pPr>
      <w:r>
        <w:rPr>
          <w:lang w:val="pt-BR"/>
        </w:rPr>
        <w:t>As distâncias A, B e C foram mensuradas confo</w:t>
      </w:r>
      <w:r>
        <w:rPr>
          <w:lang w:val="pt-BR"/>
        </w:rPr>
        <w:t>r</w:t>
      </w:r>
      <w:r>
        <w:rPr>
          <w:lang w:val="pt-BR"/>
        </w:rPr>
        <w:t>me segue:</w:t>
      </w:r>
    </w:p>
    <w:p>
      <w:pPr>
        <w:pStyle w:val="Compact"/>
        <w:numPr>
          <w:ilvl w:val="0"/>
          <w:numId w:val="16"/>
        </w:numPr>
        <w:rPr>
          <w:lang w:val="pt-BR"/>
        </w:rPr>
      </w:pPr>
      <w:r>
        <w:rPr>
          <w:lang w:val="pt-BR"/>
        </w:rPr>
        <w:t>Distância A = entre o ponto mais anterior da incisura e o ponto mais anterior da fíbula;</w:t>
      </w:r>
    </w:p>
    <w:p>
      <w:pPr>
        <w:pStyle w:val="Compact"/>
        <w:numPr>
          <w:ilvl w:val="0"/>
          <w:numId w:val="17"/>
        </w:numPr>
        <w:rPr>
          <w:lang w:val="pt-BR"/>
        </w:rPr>
      </w:pPr>
      <w:r>
        <w:rPr>
          <w:lang w:val="pt-BR"/>
        </w:rPr>
        <w:t>Distância B = entre o ponto mais posterior da incisura até o ponto mais posterior da fíbula;</w:t>
      </w:r>
    </w:p>
    <w:p>
      <w:pPr>
        <w:pStyle w:val="Compact"/>
        <w:numPr>
          <w:ilvl w:val="0"/>
          <w:numId w:val="18"/>
        </w:numPr>
        <w:rPr>
          <w:lang w:val="pt-BR"/>
        </w:rPr>
      </w:pPr>
      <w:r>
        <w:rPr>
          <w:lang w:val="pt-BR"/>
        </w:rPr>
        <w:t>Distância C = menor distância entre a tíbia e a fíbula, medida no ponto médio da incisura.</w:t>
      </w:r>
    </w:p>
    <w:p>
      <w:pPr>
        <w:pStyle w:val="FirstParagraph"/>
        <w:rPr>
          <w:lang w:val="pt-BR"/>
        </w:rPr>
      </w:pPr>
      <w:bookmarkStart w:id="12" w:name="dados-brutos"/>
      <w:r>
        <w:rPr>
          <w:lang w:val="pt-BR"/>
        </w:rPr>
        <w:t>Todas as mensurações foram realizadas por 5 avaliadores independentes, em duas posições (dorsal e plantar).</w:t>
      </w:r>
      <w:bookmarkEnd w:id="12"/>
    </w:p>
    <w:p>
      <w:pPr>
        <w:pStyle w:val="Heading2"/>
        <w:rPr>
          <w:lang w:val="pt-BR"/>
        </w:rPr>
      </w:pPr>
      <w:bookmarkStart w:id="13" w:name="__RefHeading___Toc5327_1779937678"/>
      <w:bookmarkEnd w:id="13"/>
      <w:r>
        <w:rPr>
          <w:lang w:val="pt-BR"/>
        </w:rPr>
        <w:t>Tabela de dados analíticos</w:t>
      </w:r>
    </w:p>
    <w:p>
      <w:pPr>
        <w:pStyle w:val="FirstParagraph"/>
        <w:rPr>
          <w:lang w:val="pt-BR"/>
        </w:rPr>
      </w:pPr>
      <w:r>
        <w:rPr>
          <w:lang w:val="pt-BR"/>
        </w:rPr>
        <w:t>Com base nas distâncias A, B e C serão calculados os parâmetros:</w:t>
      </w:r>
    </w:p>
    <w:p>
      <w:pPr>
        <w:pStyle w:val="Compact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Rotação 1 =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Compact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Rotação 2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</m:oMath>
    </w:p>
    <w:p>
      <w:pPr>
        <w:pStyle w:val="Compact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Translação lateral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</w:p>
    <w:p>
      <w:pPr>
        <w:pStyle w:val="FirstParagraph"/>
        <w:rPr>
          <w:lang w:val="pt-BR"/>
        </w:rPr>
      </w:pPr>
      <w:r>
        <w:rPr>
          <w:lang w:val="pt-BR"/>
        </w:rPr>
        <w:t>Após os cálculos dos parâmetros de rotação e translação, a tabela de dados foi redesenhada de modo que todas as mensurações estejam dispostas em uma única coluna, com as posições dorsal e plantar identificadas em uma variável categórica.</w:t>
      </w:r>
    </w:p>
    <w:p>
      <w:pPr>
        <w:pStyle w:val="TextBody"/>
        <w:rPr>
          <w:lang w:val="pt-BR"/>
        </w:rPr>
      </w:pPr>
      <w:r>
        <w:rPr>
          <w:lang w:val="pt-BR"/>
        </w:rPr>
        <w:t>Depois dos procedimentos de limpeza e seleção 10 variáveis foram incluídas na análise com 348 observações. A Tabela 1 mostra a estrutura dos dados analíticos.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1</w:t>
      </w:r>
      <w:r>
        <w:rPr>
          <w:lang w:val="pt-BR"/>
        </w:rPr>
        <w:t xml:space="preserve"> Estrutura da tabela de dados analíticos após seleção e limpeza das variáveis.</w:t>
      </w:r>
    </w:p>
    <w:tbl>
      <w:tblPr>
        <w:tblStyle w:val="Table"/>
        <w:tblW w:w="9637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587"/>
        <w:gridCol w:w="1727"/>
        <w:gridCol w:w="1402"/>
        <w:gridCol w:w="430"/>
        <w:gridCol w:w="428"/>
        <w:gridCol w:w="428"/>
        <w:gridCol w:w="918"/>
        <w:gridCol w:w="912"/>
        <w:gridCol w:w="1727"/>
        <w:gridCol w:w="1077"/>
      </w:tblGrid>
      <w:tr>
        <w:trPr/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id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avaliador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posicao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a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b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c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rot1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rot2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phisitiku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zwipp</w:t>
            </w:r>
          </w:p>
        </w:tc>
      </w:tr>
      <w:tr>
        <w:trPr/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3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…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N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</w:tbl>
    <w:p>
      <w:pPr>
        <w:pStyle w:val="TextBody"/>
        <w:rPr>
          <w:lang w:val="pt-BR"/>
        </w:rPr>
      </w:pPr>
      <w:bookmarkStart w:id="14" w:name="tabela-de-dados-analíticos"/>
      <w:bookmarkStart w:id="15" w:name="dados"/>
      <w:r>
        <w:rPr>
          <w:lang w:val="pt-BR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  <w:bookmarkEnd w:id="14"/>
      <w:bookmarkEnd w:id="15"/>
    </w:p>
    <w:p>
      <w:pPr>
        <w:pStyle w:val="Heading1"/>
        <w:keepLines/>
        <w:widowControl/>
        <w:numPr>
          <w:ilvl w:val="0"/>
          <w:numId w:val="0"/>
        </w:numPr>
        <w:suppressAutoHyphens w:val="true"/>
        <w:ind w:left="0" w:hanging="0"/>
        <w:jc w:val="left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rPr>
          <w:lang w:val="pt-BR"/>
        </w:rPr>
      </w:pPr>
      <w:bookmarkStart w:id="16" w:name="__RefHeading___Toc5329_1779937678"/>
      <w:bookmarkEnd w:id="16"/>
      <w:r>
        <w:rPr>
          <w:lang w:val="pt-BR"/>
        </w:rPr>
        <w:t>Parâmetros do estudo</w:t>
      </w:r>
    </w:p>
    <w:p>
      <w:pPr>
        <w:pStyle w:val="Heading2"/>
        <w:rPr>
          <w:lang w:val="pt-BR"/>
        </w:rPr>
      </w:pPr>
      <w:bookmarkStart w:id="17" w:name="__RefHeading___Toc5331_1779937678"/>
      <w:bookmarkEnd w:id="17"/>
      <w:r>
        <w:rPr>
          <w:lang w:val="pt-BR"/>
        </w:rPr>
        <w:t>Critérios de inclusão e exclusão</w:t>
      </w:r>
    </w:p>
    <w:p>
      <w:pPr>
        <w:pStyle w:val="FirstParagraph"/>
        <w:rPr>
          <w:lang w:val="pt-BR"/>
        </w:rPr>
      </w:pPr>
      <w:bookmarkStart w:id="18" w:name="critérios-de-inclusão-e-exclusão"/>
      <w:r>
        <w:rPr>
          <w:lang w:val="pt-BR"/>
        </w:rPr>
        <w:t>N/A</w:t>
      </w:r>
      <w:bookmarkEnd w:id="18"/>
    </w:p>
    <w:p>
      <w:pPr>
        <w:pStyle w:val="Heading2"/>
        <w:rPr>
          <w:lang w:val="pt-BR"/>
        </w:rPr>
      </w:pPr>
      <w:bookmarkStart w:id="19" w:name="__RefHeading___Toc5333_1779937678"/>
      <w:bookmarkEnd w:id="19"/>
      <w:r>
        <w:rPr>
          <w:lang w:val="pt-BR"/>
        </w:rPr>
        <w:t>Exposições</w:t>
      </w:r>
    </w:p>
    <w:p>
      <w:pPr>
        <w:pStyle w:val="FirstParagraph"/>
        <w:rPr>
          <w:lang w:val="pt-BR"/>
        </w:rPr>
      </w:pPr>
      <w:bookmarkStart w:id="20" w:name="exposições"/>
      <w:r>
        <w:rPr>
          <w:lang w:val="pt-BR"/>
        </w:rPr>
        <w:t>N/A</w:t>
      </w:r>
      <w:bookmarkEnd w:id="20"/>
    </w:p>
    <w:p>
      <w:pPr>
        <w:pStyle w:val="Heading2"/>
        <w:rPr>
          <w:lang w:val="pt-BR"/>
        </w:rPr>
      </w:pPr>
      <w:bookmarkStart w:id="21" w:name="__RefHeading___Toc5335_1779937678"/>
      <w:bookmarkEnd w:id="21"/>
      <w:r>
        <w:rPr>
          <w:lang w:val="pt-BR"/>
        </w:rPr>
        <w:t>Desfechos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Especificação das medidas de desfecho</w:t>
      </w:r>
      <w:r>
        <w:rPr>
          <w:lang w:val="pt-BR"/>
        </w:rPr>
        <w:t xml:space="preserve"> (Zarin, 2011):</w:t>
      </w:r>
    </w:p>
    <w:p>
      <w:pPr>
        <w:pStyle w:val="Compact"/>
        <w:numPr>
          <w:ilvl w:val="0"/>
          <w:numId w:val="22"/>
        </w:numPr>
        <w:rPr>
          <w:lang w:val="pt-BR"/>
        </w:rPr>
      </w:pPr>
      <w:r>
        <w:rPr>
          <w:lang w:val="pt-BR"/>
        </w:rPr>
        <w:t>(Domínio) Sindesmose</w:t>
      </w:r>
    </w:p>
    <w:p>
      <w:pPr>
        <w:pStyle w:val="Compact"/>
        <w:numPr>
          <w:ilvl w:val="0"/>
          <w:numId w:val="23"/>
        </w:numPr>
        <w:rPr>
          <w:lang w:val="pt-BR"/>
        </w:rPr>
      </w:pPr>
      <w:r>
        <w:rPr>
          <w:lang w:val="pt-BR"/>
        </w:rPr>
        <w:t>(Mensuração específica) Rotação externa e translação lateral da fíbula</w:t>
      </w:r>
    </w:p>
    <w:p>
      <w:pPr>
        <w:pStyle w:val="Compact"/>
        <w:numPr>
          <w:ilvl w:val="0"/>
          <w:numId w:val="24"/>
        </w:numPr>
        <w:rPr>
          <w:lang w:val="pt-BR"/>
        </w:rPr>
      </w:pPr>
      <w:r>
        <w:rPr>
          <w:lang w:val="pt-BR"/>
        </w:rPr>
        <w:t>(Métrica específica) Valor final</w:t>
      </w:r>
    </w:p>
    <w:p>
      <w:pPr>
        <w:pStyle w:val="Compact"/>
        <w:numPr>
          <w:ilvl w:val="0"/>
          <w:numId w:val="25"/>
        </w:numPr>
        <w:rPr>
          <w:lang w:val="pt-BR"/>
        </w:rPr>
      </w:pPr>
      <w:r>
        <w:rPr>
          <w:lang w:val="pt-BR"/>
        </w:rPr>
        <w:t>(Método de agregação) Média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Desfecho primário</w:t>
      </w:r>
    </w:p>
    <w:p>
      <w:pPr>
        <w:pStyle w:val="TextBody"/>
        <w:rPr>
          <w:lang w:val="pt-BR"/>
        </w:rPr>
      </w:pPr>
      <w:bookmarkStart w:id="22" w:name="desfechos"/>
      <w:r>
        <w:rPr>
          <w:lang w:val="pt-BR"/>
        </w:rPr>
        <w:t>Esta análise não avaliará desfecho clínico, portanto não há desfecho a ser definido.</w:t>
      </w:r>
      <w:bookmarkEnd w:id="22"/>
    </w:p>
    <w:p>
      <w:pPr>
        <w:pStyle w:val="Heading2"/>
        <w:rPr>
          <w:lang w:val="pt-BR"/>
        </w:rPr>
      </w:pPr>
      <w:bookmarkStart w:id="23" w:name="__RefHeading___Toc5337_1779937678"/>
      <w:bookmarkEnd w:id="23"/>
      <w:r>
        <w:rPr>
          <w:lang w:val="pt-BR"/>
        </w:rPr>
        <w:t>Covariáveis</w:t>
      </w:r>
    </w:p>
    <w:p>
      <w:pPr>
        <w:pStyle w:val="FirstParagraph"/>
        <w:rPr>
          <w:lang w:val="pt-BR"/>
        </w:rPr>
      </w:pPr>
      <w:bookmarkStart w:id="24" w:name="covariáveis"/>
      <w:bookmarkStart w:id="25" w:name="parâmetros-do-estudo"/>
      <w:r>
        <w:rPr>
          <w:lang w:val="pt-BR"/>
        </w:rPr>
        <w:t>Não foram coletados dados demográficos e clínicos dos participantes de pesquisa.</w:t>
      </w:r>
      <w:bookmarkEnd w:id="24"/>
      <w:bookmarkEnd w:id="25"/>
    </w:p>
    <w:p>
      <w:pPr>
        <w:pStyle w:val="Heading1"/>
        <w:rPr>
          <w:lang w:val="pt-BR"/>
        </w:rPr>
      </w:pPr>
      <w:bookmarkStart w:id="26" w:name="__RefHeading___Toc5339_1779937678"/>
      <w:bookmarkStart w:id="27" w:name="métodos-estatísticos"/>
      <w:bookmarkEnd w:id="26"/>
      <w:r>
        <w:rPr>
          <w:lang w:val="pt-BR"/>
        </w:rPr>
        <w:t>Métodos estatísticos</w:t>
      </w:r>
    </w:p>
    <w:p>
      <w:pPr>
        <w:pStyle w:val="Heading2"/>
        <w:rPr>
          <w:lang w:val="pt-BR"/>
        </w:rPr>
      </w:pPr>
      <w:bookmarkStart w:id="28" w:name="__RefHeading___Toc5341_1779937678"/>
      <w:bookmarkEnd w:id="28"/>
      <w:r>
        <w:rPr>
          <w:lang w:val="pt-BR"/>
        </w:rPr>
        <w:t>Análises estatísticas</w:t>
      </w:r>
    </w:p>
    <w:p>
      <w:pPr>
        <w:pStyle w:val="Heading3"/>
        <w:rPr>
          <w:lang w:val="pt-BR"/>
        </w:rPr>
      </w:pPr>
      <w:bookmarkStart w:id="29" w:name="__RefHeading___Toc5343_1779937678"/>
      <w:bookmarkEnd w:id="29"/>
      <w:r>
        <w:rPr>
          <w:lang w:val="pt-BR"/>
        </w:rPr>
        <w:t>Análise descritiva</w:t>
      </w:r>
    </w:p>
    <w:p>
      <w:pPr>
        <w:pStyle w:val="FirstParagraph"/>
        <w:rPr>
          <w:lang w:val="pt-BR"/>
        </w:rPr>
      </w:pPr>
      <w:bookmarkStart w:id="30" w:name="análise-descritiva"/>
      <w:r>
        <w:rPr>
          <w:lang w:val="pt-BR"/>
        </w:rPr>
        <w:t>As mensurações referentes às medidas de rotação e translação lateral da fíbula serão descritas como média (DP). As distribuições das mensurações serão resumidas em tabelas e visualizadas em gráficos exploratórios</w:t>
      </w:r>
      <w:bookmarkEnd w:id="30"/>
    </w:p>
    <w:p>
      <w:pPr>
        <w:pStyle w:val="Heading3"/>
        <w:rPr>
          <w:lang w:val="pt-BR"/>
        </w:rPr>
      </w:pPr>
      <w:bookmarkStart w:id="31" w:name="__RefHeading___Toc5345_1779937678"/>
      <w:bookmarkEnd w:id="31"/>
      <w:r>
        <w:rPr>
          <w:lang w:val="pt-BR"/>
        </w:rPr>
        <w:t>Análise inferencial</w:t>
      </w:r>
    </w:p>
    <w:p>
      <w:pPr>
        <w:pStyle w:val="FirstParagraph"/>
        <w:rPr>
          <w:lang w:val="pt-BR"/>
        </w:rPr>
      </w:pPr>
      <w:r>
        <w:rPr>
          <w:lang w:val="pt-BR"/>
        </w:rPr>
        <w:t>Todas as comparações entre as mensurações serão avaliadas como análises univariadas. As análises serão feitas agrupando-se as medidas de rotação e translação lateral da fíbula por avaliador e por tipo de mensuração.</w:t>
      </w:r>
    </w:p>
    <w:p>
      <w:pPr>
        <w:pStyle w:val="TextBody"/>
        <w:rPr>
          <w:lang w:val="pt-BR"/>
        </w:rPr>
      </w:pPr>
      <w:bookmarkStart w:id="32" w:name="análise-inferencial"/>
      <w:r>
        <w:rPr>
          <w:lang w:val="pt-BR"/>
        </w:rPr>
        <w:t>A consistência das mensurações feitas por um mesmo avaliador nas posições dorsal e plantar serão avaliadas com o  teste t pareado.   A consistência entre os avaliadores, quando realizam a mesma mensuração, será avaliada com a ICC.</w:t>
      </w:r>
      <w:bookmarkEnd w:id="32"/>
    </w:p>
    <w:p>
      <w:pPr>
        <w:pStyle w:val="Heading3"/>
        <w:rPr>
          <w:lang w:val="pt-BR"/>
        </w:rPr>
      </w:pPr>
      <w:bookmarkStart w:id="33" w:name="__RefHeading___Toc5347_1779937678"/>
      <w:bookmarkEnd w:id="33"/>
      <w:r>
        <w:rPr>
          <w:lang w:val="pt-BR"/>
        </w:rPr>
        <w:t>Modelagem estatística</w:t>
      </w:r>
    </w:p>
    <w:p>
      <w:pPr>
        <w:pStyle w:val="FirstParagraph"/>
        <w:rPr>
          <w:lang w:val="pt-BR"/>
        </w:rPr>
      </w:pPr>
      <w:bookmarkStart w:id="34" w:name="modelagem-estatística"/>
      <w:r>
        <w:rPr>
          <w:lang w:val="pt-BR"/>
        </w:rPr>
        <w:t>N/A</w:t>
      </w:r>
      <w:bookmarkEnd w:id="34"/>
    </w:p>
    <w:p>
      <w:pPr>
        <w:pStyle w:val="Heading3"/>
        <w:rPr>
          <w:lang w:val="pt-BR"/>
        </w:rPr>
      </w:pPr>
      <w:bookmarkStart w:id="35" w:name="__RefHeading___Toc5349_1779937678"/>
      <w:bookmarkEnd w:id="35"/>
      <w:r>
        <w:rPr>
          <w:lang w:val="pt-BR"/>
        </w:rPr>
        <w:t>Dados faltantes</w:t>
      </w:r>
    </w:p>
    <w:p>
      <w:pPr>
        <w:pStyle w:val="FirstParagraph"/>
        <w:rPr>
          <w:lang w:val="pt-BR"/>
        </w:rPr>
      </w:pPr>
      <w:bookmarkStart w:id="36" w:name="dados-faltantes"/>
      <w:bookmarkStart w:id="37" w:name="análises-estatísticas"/>
      <w:r>
        <w:rPr>
          <w:lang w:val="pt-BR"/>
        </w:rPr>
        <w:t>Não serão realizadas imputações de dados faltantes. Todas as avaliações serão realizadas como análises de casos completos.</w:t>
      </w:r>
      <w:bookmarkEnd w:id="36"/>
      <w:bookmarkEnd w:id="37"/>
    </w:p>
    <w:p>
      <w:pPr>
        <w:pStyle w:val="Heading2"/>
        <w:rPr>
          <w:lang w:val="pt-BR"/>
        </w:rPr>
      </w:pPr>
      <w:bookmarkStart w:id="38" w:name="__RefHeading___Toc5351_1779937678"/>
      <w:bookmarkEnd w:id="38"/>
      <w:r>
        <w:rPr>
          <w:lang w:val="pt-BR"/>
        </w:rPr>
        <w:t>Significância e Intervalos de Confiança</w:t>
      </w:r>
    </w:p>
    <w:p>
      <w:pPr>
        <w:pStyle w:val="FirstParagraph"/>
        <w:rPr>
          <w:lang w:val="pt-BR"/>
        </w:rPr>
      </w:pPr>
      <w:bookmarkStart w:id="39" w:name="significância-e-intervalos-de-confiança"/>
      <w:r>
        <w:rPr>
          <w:lang w:val="pt-BR"/>
        </w:rPr>
        <w:t xml:space="preserve">Todas as análises serão realizadas ao nível de significância de 5%. Todos os testes de hipóteses e intervalos de confiança calculados serão bicaudais.  </w:t>
      </w:r>
      <w:bookmarkEnd w:id="39"/>
    </w:p>
    <w:p>
      <w:pPr>
        <w:pStyle w:val="Heading2"/>
        <w:rPr>
          <w:lang w:val="pt-BR"/>
        </w:rPr>
      </w:pPr>
      <w:bookmarkStart w:id="40" w:name="__RefHeading___Toc5353_1779937678"/>
      <w:bookmarkEnd w:id="40"/>
      <w:r>
        <w:rPr>
          <w:lang w:val="pt-BR"/>
        </w:rPr>
        <w:t>Tamanho da amostra e Poder</w:t>
      </w:r>
    </w:p>
    <w:p>
      <w:pPr>
        <w:pStyle w:val="FirstParagraph"/>
        <w:rPr>
          <w:lang w:val="pt-BR"/>
        </w:rPr>
      </w:pPr>
      <w:bookmarkStart w:id="41" w:name="tamanho-da-amostra-e-poder"/>
      <w:r>
        <w:rPr>
          <w:lang w:val="pt-BR"/>
        </w:rPr>
        <w:t>N/A</w:t>
      </w:r>
      <w:bookmarkEnd w:id="41"/>
    </w:p>
    <w:p>
      <w:pPr>
        <w:pStyle w:val="Heading2"/>
        <w:rPr>
          <w:lang w:val="pt-BR"/>
        </w:rPr>
      </w:pPr>
      <w:bookmarkStart w:id="42" w:name="__RefHeading___Toc5355_1779937678"/>
      <w:bookmarkStart w:id="43" w:name="softwares-utilizados"/>
      <w:bookmarkEnd w:id="42"/>
      <w:r>
        <w:rPr>
          <w:lang w:val="pt-BR"/>
        </w:rPr>
        <w:t>Softwares utilizados</w:t>
      </w:r>
    </w:p>
    <w:p>
      <w:pPr>
        <w:pStyle w:val="FirstParagraph"/>
        <w:rPr/>
      </w:pPr>
      <w:r>
        <w:rPr>
          <w:lang w:val="pt-BR"/>
        </w:rPr>
        <w:t xml:space="preserve">Esta análise será realizada utilizando-se o software </w:t>
      </w:r>
      <w:r>
        <w:rPr>
          <w:rStyle w:val="VerbatimChar"/>
          <w:lang w:val="pt-BR"/>
        </w:rPr>
        <w:t>R</w:t>
      </w:r>
      <w:r>
        <w:rPr>
          <w:lang w:val="pt-BR"/>
        </w:rPr>
        <w:t xml:space="preserve"> versão 4.1.3.</w:t>
      </w:r>
      <w:bookmarkEnd w:id="27"/>
      <w:bookmarkEnd w:id="43"/>
    </w:p>
    <w:p>
      <w:pPr>
        <w:pStyle w:val="Heading1"/>
        <w:rPr>
          <w:lang w:val="pt-BR"/>
        </w:rPr>
      </w:pPr>
      <w:bookmarkStart w:id="44" w:name="__RefHeading___Toc5357_1779937678"/>
      <w:bookmarkEnd w:id="44"/>
      <w:r>
        <w:rPr>
          <w:lang w:val="pt-BR"/>
        </w:rPr>
        <w:t>Observações e limitações</w:t>
      </w:r>
    </w:p>
    <w:p>
      <w:pPr>
        <w:pStyle w:val="FirstParagraph"/>
        <w:rPr>
          <w:lang w:val="pt-BR"/>
        </w:rPr>
      </w:pPr>
      <w:bookmarkStart w:id="45" w:name="observações-e-limitações"/>
      <w:r>
        <w:rPr>
          <w:lang w:val="pt-BR"/>
        </w:rPr>
        <w:t>N/A</w:t>
      </w:r>
      <w:bookmarkEnd w:id="45"/>
    </w:p>
    <w:p>
      <w:pPr>
        <w:pStyle w:val="Heading1"/>
        <w:rPr>
          <w:lang w:val="pt-BR"/>
        </w:rPr>
      </w:pPr>
      <w:bookmarkStart w:id="46" w:name="__RefHeading___Toc5359_1779937678"/>
      <w:bookmarkStart w:id="47" w:name="referências"/>
      <w:bookmarkEnd w:id="46"/>
      <w:r>
        <w:rPr>
          <w:lang w:val="pt-BR"/>
        </w:rPr>
        <w:t>Referências</w:t>
      </w:r>
    </w:p>
    <w:p>
      <w:pPr>
        <w:pStyle w:val="Compact"/>
        <w:numPr>
          <w:ilvl w:val="0"/>
          <w:numId w:val="26"/>
        </w:numPr>
        <w:rPr>
          <w:lang w:val="pt-BR"/>
        </w:rPr>
      </w:pPr>
      <w:r>
        <w:rPr>
          <w:b/>
          <w:bCs/>
          <w:lang w:val="pt-BR"/>
        </w:rPr>
        <w:t>SAR-2022-012-IC-v01</w:t>
      </w:r>
      <w:r>
        <w:rPr>
          <w:lang w:val="pt-BR"/>
        </w:rPr>
        <w:t xml:space="preserve"> – Consistência inter-avaliador de mensurações radiológicas para diagnóstico de sindesmose </w:t>
      </w:r>
    </w:p>
    <w:p>
      <w:pPr>
        <w:pStyle w:val="Compact"/>
        <w:numPr>
          <w:ilvl w:val="0"/>
          <w:numId w:val="27"/>
        </w:numPr>
        <w:rPr/>
      </w:pPr>
      <w:r>
        <w:rPr>
          <w:lang w:val="en-US" w:eastAsia="en-US" w:bidi="ar-SA"/>
        </w:rPr>
        <w:t>Zarin DA, et al. The ClinicalTrials.gov results database – update and key issues. N Engl J Med 2011;364:852-60 (</w:t>
      </w:r>
      <w:hyperlink r:id="rId2">
        <w:r>
          <w:rPr>
            <w:rStyle w:val="InternetLink"/>
            <w:lang w:val="en-US" w:eastAsia="en-US" w:bidi="ar-SA"/>
          </w:rPr>
          <w:t>https://doi.org/10.1056/NEJMsa1012065</w:t>
        </w:r>
      </w:hyperlink>
      <w:r>
        <w:rPr>
          <w:lang w:val="en-US" w:eastAsia="en-US" w:bidi="ar-SA"/>
        </w:rPr>
        <w:t>).</w:t>
      </w:r>
    </w:p>
    <w:p>
      <w:pPr>
        <w:pStyle w:val="Compact"/>
        <w:numPr>
          <w:ilvl w:val="0"/>
          <w:numId w:val="28"/>
        </w:numPr>
        <w:rPr/>
      </w:pPr>
      <w:r>
        <w:rPr>
          <w:lang w:val="en-US" w:eastAsia="en-US" w:bidi="ar-SA"/>
        </w:rPr>
        <w:t>Gamble C, et al. Guidelines for the Content of Statistical Analysis Plans in Clinical Trials. JAMA. 2017;318(23):2337–2343 (</w:t>
      </w:r>
      <w:hyperlink r:id="rId3">
        <w:r>
          <w:rPr>
            <w:rStyle w:val="InternetLink"/>
            <w:lang w:val="en-US" w:eastAsia="en-US" w:bidi="ar-SA"/>
          </w:rPr>
          <w:t>https://doi.org/10.1001/jama.2017.18556</w:t>
        </w:r>
      </w:hyperlink>
      <w:r>
        <w:rPr>
          <w:lang w:val="en-US" w:eastAsia="en-US" w:bidi="ar-SA"/>
        </w:rPr>
        <w:t>).</w:t>
      </w:r>
      <w:bookmarkEnd w:id="47"/>
    </w:p>
    <w:p>
      <w:pPr>
        <w:pStyle w:val="Heading1"/>
        <w:rPr>
          <w:lang w:val="pt-BR"/>
        </w:rPr>
      </w:pPr>
      <w:bookmarkStart w:id="48" w:name="__RefHeading___Toc5361_1779937678"/>
      <w:bookmarkEnd w:id="48"/>
      <w:r>
        <w:rPr>
          <w:lang w:val="pt-BR"/>
        </w:rPr>
        <w:t>Apêndice</w:t>
      </w:r>
    </w:p>
    <w:p>
      <w:pPr>
        <w:pStyle w:val="FirstParagraph"/>
        <w:rPr>
          <w:lang w:val="pt-BR"/>
        </w:rPr>
      </w:pPr>
      <w:r>
        <w:rPr>
          <w:lang w:val="pt-BR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/>
        </w:rPr>
      </w:pPr>
      <w:bookmarkStart w:id="49" w:name="__RefHeading___Toc5363_1779937678"/>
      <w:bookmarkEnd w:id="49"/>
      <w:r>
        <w:rPr>
          <w:lang w:val="pt-BR"/>
        </w:rPr>
        <w:t>Disponibilidade</w:t>
      </w:r>
    </w:p>
    <w:p>
      <w:pPr>
        <w:pStyle w:val="FirstParagraph"/>
        <w:rPr>
          <w:lang w:val="pt-BR"/>
        </w:rPr>
      </w:pPr>
      <w:r>
        <w:rPr>
          <w:lang w:val="pt-BR"/>
        </w:rPr>
        <w:t>Todos os documentos gerados nessa consultoria foram incluídos no portfólio do consultor.</w:t>
      </w:r>
    </w:p>
    <w:p>
      <w:pPr>
        <w:pStyle w:val="TextBody"/>
        <w:rPr>
          <w:lang w:val="pt-BR"/>
        </w:rPr>
      </w:pPr>
      <w:r>
        <w:rPr>
          <w:lang w:val="pt-BR"/>
        </w:rPr>
        <w:t>O portfólio pode ser visto em:</w:t>
      </w:r>
    </w:p>
    <w:p>
      <w:pPr>
        <w:pStyle w:val="TextBody"/>
        <w:spacing w:before="180" w:after="180"/>
        <w:rPr/>
      </w:pPr>
      <w:hyperlink r:id="rId4">
        <w:bookmarkStart w:id="50" w:name="disponibilidade"/>
        <w:bookmarkStart w:id="51" w:name="apêndice"/>
        <w:r>
          <w:rPr>
            <w:rStyle w:val="InternetLink"/>
            <w:lang w:val="pt-BR"/>
          </w:rPr>
          <w:t>https://philsf-biostat.github.io/SAR-2022-012-IC/</w:t>
        </w:r>
      </w:hyperlink>
      <w:bookmarkEnd w:id="50"/>
      <w:bookmarkEnd w:id="51"/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9"/>
    <w:lvlOverride w:ilvl="0">
      <w:startOverride w:val="1"/>
    </w:lvlOverride>
  </w:num>
  <w:num w:numId="23">
    <w:abstractNumId w:val="9"/>
  </w:num>
  <w:num w:numId="24">
    <w:abstractNumId w:val="9"/>
  </w:num>
  <w:num w:numId="25">
    <w:abstractNumId w:val="9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56/NEJMsa1012065" TargetMode="External"/><Relationship Id="rId3" Type="http://schemas.openxmlformats.org/officeDocument/2006/relationships/hyperlink" Target="https://doi.org/10.1001/jama.2017.18556" TargetMode="External"/><Relationship Id="rId4" Type="http://schemas.openxmlformats.org/officeDocument/2006/relationships/hyperlink" Target="https://philsf-biostat.github.io/SAR-2022-012-IC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LibreOffice/7.3.3.2$Linux_X86_64 LibreOffice_project/30$Build-2</Application>
  <AppVersion>15.0000</AppVersion>
  <Pages>6</Pages>
  <Words>871</Words>
  <Characters>4991</Characters>
  <CharactersWithSpaces>5796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2022-05-11T04:37:58Z</dcterms:created>
  <dc:creator>De: Felipe Figueiredo Para: Isnar Castro</dc:creator>
  <dc:description/>
  <dc:language>pt-BR</dc:language>
  <cp:lastModifiedBy>Felipe Figueiredo</cp:lastModifiedBy>
  <dcterms:modified xsi:type="dcterms:W3CDTF">2022-05-11T01:42:03Z</dcterms:modified>
  <cp:revision>7</cp:revision>
  <dc:subject/>
  <dc:title>Plano Analítico para Consistência inter-avaliador de mensurações radiológicas para diagnóstico de sindesmose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/>
  </property>
  <property fmtid="{D5CDD505-2E9C-101B-9397-08002B2CF9AE}" pid="4" name="subtitle">
    <vt:lpwstr>DOCUMENTO: SAP-2022-012-IC-v01</vt:lpwstr>
  </property>
  <property fmtid="{D5CDD505-2E9C-101B-9397-08002B2CF9AE}" pid="5" name="toc-title">
    <vt:lpwstr>Sumário</vt:lpwstr>
  </property>
</Properties>
</file>