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480" w:after="240"/>
        <w:rPr>
          <w:lang w:val="pt-BR" w:eastAsia="en-US" w:bidi="ar-SA"/>
        </w:rPr>
      </w:pPr>
      <w:r>
        <w:rPr>
          <w:lang w:val="pt-BR" w:eastAsia="en-US" w:bidi="ar-SA"/>
        </w:rPr>
        <w:t>Consistência de mensurações radiológicas para diagnóstico de sindesmose</w:t>
      </w:r>
    </w:p>
    <w:p>
      <w:pPr>
        <w:pStyle w:val="Subtitle"/>
        <w:rPr>
          <w:lang w:val="pt-BR" w:eastAsia="en-US" w:bidi="ar-SA"/>
        </w:rPr>
      </w:pPr>
      <w:r>
        <w:rPr>
          <w:lang w:val="pt-BR" w:eastAsia="en-US" w:bidi="ar-SA"/>
        </w:rPr>
        <w:t>DOCUMENTO: SAR-2022-012-IC-v01</w:t>
      </w:r>
    </w:p>
    <w:p>
      <w:pPr>
        <w:pStyle w:val="Author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De:</w:t>
      </w:r>
      <w:r>
        <w:rPr>
          <w:lang w:val="pt-BR" w:eastAsia="en-US" w:bidi="ar-SA"/>
        </w:rPr>
        <w:t xml:space="preserve"> Felipe Figueiredo </w:t>
      </w:r>
      <w:r>
        <w:rPr>
          <w:b/>
          <w:bCs/>
          <w:lang w:val="pt-BR" w:eastAsia="en-US" w:bidi="ar-SA"/>
        </w:rPr>
        <w:t>Para:</w:t>
      </w:r>
      <w:r>
        <w:rPr>
          <w:lang w:val="pt-BR" w:eastAsia="en-US" w:bidi="ar-SA"/>
        </w:rPr>
        <w:t xml:space="preserve"> Isnar Castro</w:t>
      </w:r>
    </w:p>
    <w:p>
      <w:pPr>
        <w:pStyle w:val="Date"/>
        <w:rPr>
          <w:lang w:val="pt-BR" w:eastAsia="en-US" w:bidi="ar-SA"/>
        </w:rPr>
      </w:pPr>
      <w:r>
        <w:rPr>
          <w:lang w:val="pt-BR" w:eastAsia="en-US" w:bidi="ar-SA"/>
        </w:rPr>
        <w:t>2022-05-2</w:t>
      </w:r>
      <w:r>
        <w:rPr>
          <w:lang w:val="pt-BR" w:eastAsia="en-US" w:bidi="ar-SA"/>
        </w:rPr>
        <w:t>6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numPr>
              <w:ilvl w:val="0"/>
              <w:numId w:val="0"/>
            </w:numPr>
            <w:spacing w:lineRule="auto" w:line="259" w:before="240" w:after="0"/>
            <w:ind w:left="0" w:hanging="0"/>
            <w:jc w:val="center"/>
            <w:rPr>
              <w:lang w:val="pt-BR" w:eastAsia="en-US" w:bidi="ar-SA"/>
            </w:rPr>
          </w:pPr>
          <w:r>
            <w:rPr>
              <w:rFonts w:eastAsia="" w:cs="" w:cstheme="majorBidi" w:eastAsiaTheme="majorEastAsia"/>
              <w:b/>
              <w:bCs w:val="false"/>
              <w:color w:val="000000" w:themeShade="bf"/>
              <w:sz w:val="32"/>
              <w:lang w:val="pt-BR" w:eastAsia="en-US" w:bidi="ar-SA"/>
            </w:rPr>
            <w:t>Sumário</w:t>
          </w:r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  <w:lang w:val="pt-BR" w:eastAsia="en-US" w:bidi="ar-SA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  <w:lang w:val="pt-BR" w:eastAsia="en-US" w:bidi="ar-SA"/>
            </w:rPr>
            <w:fldChar w:fldCharType="separate"/>
          </w:r>
          <w:hyperlink w:anchor="__RefHeading___Toc4954_4040513560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1  Lista de abreviaturas</w:t>
              <w:tab/>
              <w:t>2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4956_4040513560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2  Contexto</w:t>
              <w:tab/>
              <w:t>2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4958_4040513560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2.1  Objetivos</w:t>
              <w:tab/>
              <w:t>2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4960_4040513560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2.2  Recepção e tratamento dos dados</w:t>
              <w:tab/>
              <w:t>2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4962_4040513560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3  Metodologia</w:t>
              <w:tab/>
              <w:t>3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4964_4040513560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3.1  Parâmetros do estudo</w:t>
              <w:tab/>
              <w:t>3</w:t>
            </w:r>
          </w:hyperlink>
        </w:p>
        <w:p>
          <w:pPr>
            <w:pStyle w:val="Contents3"/>
            <w:tabs>
              <w:tab w:val="clear" w:pos="8794"/>
              <w:tab w:val="right" w:pos="9638" w:leader="dot"/>
            </w:tabs>
            <w:rPr/>
          </w:pPr>
          <w:hyperlink w:anchor="__RefHeading___Toc4966_4040513560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3.1.1  Desenho do estudo</w:t>
              <w:tab/>
              <w:t>3</w:t>
            </w:r>
          </w:hyperlink>
        </w:p>
        <w:p>
          <w:pPr>
            <w:pStyle w:val="Contents3"/>
            <w:tabs>
              <w:tab w:val="clear" w:pos="8794"/>
              <w:tab w:val="right" w:pos="9638" w:leader="dot"/>
            </w:tabs>
            <w:rPr/>
          </w:pPr>
          <w:hyperlink w:anchor="__RefHeading___Toc4968_4040513560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3.1.2  Critérios de inclusão e exclusão</w:t>
              <w:tab/>
              <w:t>3</w:t>
            </w:r>
          </w:hyperlink>
        </w:p>
        <w:p>
          <w:pPr>
            <w:pStyle w:val="Contents3"/>
            <w:tabs>
              <w:tab w:val="clear" w:pos="8794"/>
              <w:tab w:val="right" w:pos="9638" w:leader="dot"/>
            </w:tabs>
            <w:rPr/>
          </w:pPr>
          <w:hyperlink w:anchor="__RefHeading___Toc4970_4040513560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3.1.3  Exposições</w:t>
              <w:tab/>
              <w:t>3</w:t>
            </w:r>
          </w:hyperlink>
        </w:p>
        <w:p>
          <w:pPr>
            <w:pStyle w:val="Contents3"/>
            <w:tabs>
              <w:tab w:val="clear" w:pos="8794"/>
              <w:tab w:val="right" w:pos="9638" w:leader="dot"/>
            </w:tabs>
            <w:rPr/>
          </w:pPr>
          <w:hyperlink w:anchor="__RefHeading___Toc4972_4040513560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3.1.4  Desfechos</w:t>
              <w:tab/>
              <w:t>3</w:t>
            </w:r>
          </w:hyperlink>
        </w:p>
        <w:p>
          <w:pPr>
            <w:pStyle w:val="Contents3"/>
            <w:tabs>
              <w:tab w:val="clear" w:pos="8794"/>
              <w:tab w:val="right" w:pos="9638" w:leader="dot"/>
            </w:tabs>
            <w:rPr/>
          </w:pPr>
          <w:hyperlink w:anchor="__RefHeading___Toc4974_4040513560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3.1.5  Covariáveis</w:t>
              <w:tab/>
              <w:t>3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4976_4040513560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3.2  Análises Estatísticas</w:t>
              <w:tab/>
              <w:t>3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4978_4040513560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4  Resultados</w:t>
              <w:tab/>
              <w:t>4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4980_4040513560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4.1  População do estudo e acompanhamento</w:t>
              <w:tab/>
              <w:t>4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4982_4040513560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4.2  Consistência das mensurações radiológicas para avaliação de sindesmose</w:t>
              <w:tab/>
              <w:t>7</w:t>
            </w:r>
          </w:hyperlink>
        </w:p>
        <w:p>
          <w:pPr>
            <w:pStyle w:val="Contents3"/>
            <w:tabs>
              <w:tab w:val="clear" w:pos="8794"/>
              <w:tab w:val="right" w:pos="9638" w:leader="dot"/>
            </w:tabs>
            <w:rPr/>
          </w:pPr>
          <w:hyperlink w:anchor="__RefHeading___Toc4984_4040513560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4.2.1  Consistência intra-avaliador</w:t>
              <w:tab/>
              <w:t>7</w:t>
            </w:r>
          </w:hyperlink>
        </w:p>
        <w:p>
          <w:pPr>
            <w:pStyle w:val="Contents3"/>
            <w:tabs>
              <w:tab w:val="clear" w:pos="8794"/>
              <w:tab w:val="right" w:pos="9638" w:leader="dot"/>
            </w:tabs>
            <w:rPr/>
          </w:pPr>
          <w:hyperlink w:anchor="__RefHeading___Toc4986_4040513560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4.2.2  Consistência inter-avaliador</w:t>
              <w:tab/>
              <w:t>7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4988_4040513560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5  Observações e limitações</w:t>
              <w:tab/>
              <w:t>8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4990_4040513560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6  Conclusões</w:t>
              <w:tab/>
              <w:t>8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4992_4040513560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7  Referências</w:t>
              <w:tab/>
              <w:t>8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4994_4040513560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8  Apêndice</w:t>
              <w:tab/>
              <w:t>9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4996_4040513560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8.1  Análise exploratória de dados</w:t>
              <w:tab/>
              <w:t>9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4998_4040513560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8.2  Disponibilidade</w:t>
              <w:tab/>
              <w:t>9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5000_4040513560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8.3  Dados utilizados</w:t>
              <w:tab/>
              <w:t>9</w:t>
            </w:r>
          </w:hyperlink>
          <w:r>
            <w:rPr>
              <w:rStyle w:val="IndexLink"/>
              <w:lang w:val="pt-BR" w:eastAsia="en-US" w:bidi="ar-SA"/>
            </w:rPr>
            <w:fldChar w:fldCharType="end"/>
          </w:r>
        </w:p>
      </w:sdtContent>
    </w:sdt>
    <w:p>
      <w:pPr>
        <w:pStyle w:val="Normal"/>
        <w:rPr>
          <w:lang w:val="pt-BR" w:eastAsia="en-US" w:bidi="ar-SA"/>
        </w:rPr>
      </w:pPr>
      <w:r>
        <w:rPr/>
        <mc:AlternateContent>
          <mc:Choice Requires="wps">
            <w:drawing>
              <wp:inline distT="0" distB="0" distL="0" distR="0">
                <wp:extent cx="6120130" cy="1905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white" stroked="t" o:allowincell="f" style="position:absolute;margin-left:0pt;margin-top:-1.55pt;width:481.8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lang w:val="pt-BR" w:eastAsia="en-US" w:bidi="ar-SA"/>
        </w:rPr>
      </w:pPr>
      <w:r>
        <w:rPr>
          <w:lang w:val="pt-BR" w:eastAsia="en-US" w:bidi="ar-SA"/>
        </w:rPr>
      </w:r>
      <w:r>
        <w:br w:type="page"/>
      </w:r>
    </w:p>
    <w:p>
      <w:pPr>
        <w:pStyle w:val="Title"/>
        <w:rPr>
          <w:lang w:val="pt-BR" w:eastAsia="en-US" w:bidi="ar-SA"/>
        </w:rPr>
      </w:pPr>
      <w:r>
        <w:rPr>
          <w:lang w:val="pt-BR" w:eastAsia="en-US" w:bidi="ar-SA"/>
        </w:rPr>
        <w:t>Consistência de mensurações radiológicas para diagnóstico de sindesmose</w:t>
      </w:r>
    </w:p>
    <w:p>
      <w:pPr>
        <w:pStyle w:val="TextBody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Histórico do documento</w:t>
      </w:r>
    </w:p>
    <w:tbl>
      <w:tblPr>
        <w:tblStyle w:val="Table"/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3625"/>
        <w:gridCol w:w="6012"/>
      </w:tblGrid>
      <w:tr>
        <w:trPr/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Versão</w:t>
            </w:r>
          </w:p>
        </w:tc>
        <w:tc>
          <w:tcPr>
            <w:tcW w:w="6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Alterações</w:t>
            </w:r>
          </w:p>
        </w:tc>
      </w:tr>
      <w:tr>
        <w:trPr/>
        <w:tc>
          <w:tcPr>
            <w:tcW w:w="36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01</w:t>
            </w:r>
          </w:p>
        </w:tc>
        <w:tc>
          <w:tcPr>
            <w:tcW w:w="60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Versão inicial</w:t>
            </w:r>
          </w:p>
        </w:tc>
      </w:tr>
    </w:tbl>
    <w:p>
      <w:pPr>
        <w:pStyle w:val="Normal"/>
        <w:rPr>
          <w:lang w:val="pt-BR" w:eastAsia="en-US" w:bidi="ar-SA"/>
        </w:rPr>
      </w:pPr>
      <w:r>
        <w:rPr/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2" path="m0,0l-2147483645,0l-2147483645,-2147483646l0,-2147483646xe" fillcolor="white" stroked="t" o:allowincell="f" style="position:absolute;margin-left:0pt;margin-top:-1.55pt;width:0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Heading1"/>
        <w:rPr>
          <w:lang w:val="pt-BR" w:eastAsia="en-US" w:bidi="ar-SA"/>
        </w:rPr>
      </w:pPr>
      <w:bookmarkStart w:id="0" w:name="__RefHeading___Toc4954_4040513560"/>
      <w:bookmarkStart w:id="1" w:name="lista-de-abreviaturas"/>
      <w:bookmarkEnd w:id="0"/>
      <w:r>
        <w:rPr>
          <w:lang w:val="pt-BR" w:eastAsia="en-US" w:bidi="ar-SA"/>
        </w:rPr>
        <w:t>Lista de abreviaturas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CV: coeficiente de variação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DP: desvio padrão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IC: intervalo de confiança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ICC: Correlação intra-classe (</w:t>
      </w:r>
      <w:r>
        <w:rPr>
          <w:i/>
          <w:iCs/>
          <w:lang w:val="pt-BR" w:eastAsia="en-US" w:bidi="ar-SA"/>
        </w:rPr>
        <w:t>intra-class correlation</w:t>
      </w:r>
      <w:r>
        <w:rPr>
          <w:lang w:val="pt-BR" w:eastAsia="en-US" w:bidi="ar-SA"/>
        </w:rPr>
        <w:t>)</w:t>
      </w:r>
      <w:bookmarkEnd w:id="1"/>
    </w:p>
    <w:p>
      <w:pPr>
        <w:pStyle w:val="Heading1"/>
        <w:rPr>
          <w:lang w:val="pt-BR" w:eastAsia="en-US" w:bidi="ar-SA"/>
        </w:rPr>
      </w:pPr>
      <w:bookmarkStart w:id="2" w:name="__RefHeading___Toc4956_4040513560"/>
      <w:bookmarkEnd w:id="2"/>
      <w:r>
        <w:rPr>
          <w:lang w:val="pt-BR" w:eastAsia="en-US" w:bidi="ar-SA"/>
        </w:rPr>
        <w:t>Contexto</w:t>
      </w:r>
    </w:p>
    <w:p>
      <w:pPr>
        <w:pStyle w:val="Heading2"/>
        <w:rPr>
          <w:lang w:val="pt-BR" w:eastAsia="en-US" w:bidi="ar-SA"/>
        </w:rPr>
      </w:pPr>
      <w:bookmarkStart w:id="3" w:name="__RefHeading___Toc4958_4040513560"/>
      <w:bookmarkEnd w:id="3"/>
      <w:r>
        <w:rPr>
          <w:lang w:val="pt-BR" w:eastAsia="en-US" w:bidi="ar-SA"/>
        </w:rPr>
        <w:t>Objetivos</w:t>
      </w:r>
    </w:p>
    <w:p>
      <w:pPr>
        <w:pStyle w:val="FirstParagraph"/>
        <w:rPr>
          <w:lang w:val="pt-BR" w:eastAsia="en-US" w:bidi="ar-SA"/>
        </w:rPr>
      </w:pPr>
      <w:bookmarkStart w:id="4" w:name="objetivos"/>
      <w:r>
        <w:rPr>
          <w:lang w:val="pt-BR" w:eastAsia="en-US" w:bidi="ar-SA"/>
        </w:rPr>
        <w:t>Avaliar consistência intra- e inter-avaliador de mensurações radiográficas para diagnóstico de sindesmose tibiofibular distal, em tornozelos normais, nas posições de flexão dorsal 15 graus e flexão plantar 20 graus, através de cortes tomográficos no plano axial.</w:t>
      </w:r>
      <w:bookmarkEnd w:id="4"/>
    </w:p>
    <w:p>
      <w:pPr>
        <w:pStyle w:val="Heading2"/>
        <w:rPr>
          <w:lang w:val="pt-BR" w:eastAsia="en-US" w:bidi="ar-SA"/>
        </w:rPr>
      </w:pPr>
      <w:bookmarkStart w:id="5" w:name="__RefHeading___Toc4960_4040513560"/>
      <w:bookmarkEnd w:id="5"/>
      <w:r>
        <w:rPr>
          <w:lang w:val="pt-BR" w:eastAsia="en-US" w:bidi="ar-SA"/>
        </w:rPr>
        <w:t>Recepção e tratamento dos dados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A base de dados original possuía 13 variáveis coletadas de 174 observações.</w:t>
      </w:r>
    </w:p>
    <w:p>
      <w:pPr>
        <w:pStyle w:val="TextBody"/>
        <w:rPr>
          <w:lang w:val="pt-BR" w:eastAsia="en-US" w:bidi="ar-SA"/>
        </w:rPr>
      </w:pPr>
      <w:r>
        <w:rPr>
          <w:lang w:val="pt-BR" w:eastAsia="en-US" w:bidi="ar-SA"/>
        </w:rPr>
        <w:t>As distâncias A, B e C foram mensuradas conforme segue:</w:t>
      </w:r>
    </w:p>
    <w:p>
      <w:pPr>
        <w:pStyle w:val="Compact"/>
        <w:numPr>
          <w:ilvl w:val="0"/>
          <w:numId w:val="11"/>
        </w:numPr>
        <w:rPr>
          <w:lang w:val="pt-BR" w:eastAsia="en-US" w:bidi="ar-SA"/>
        </w:rPr>
      </w:pPr>
      <w:r>
        <w:rPr>
          <w:lang w:val="pt-BR" w:eastAsia="en-US" w:bidi="ar-SA"/>
        </w:rPr>
        <w:t>Distância A = entre o ponto mais anterior da incisura e o ponto mais anterior da fíbula;</w:t>
      </w:r>
    </w:p>
    <w:p>
      <w:pPr>
        <w:pStyle w:val="Compact"/>
        <w:numPr>
          <w:ilvl w:val="0"/>
          <w:numId w:val="12"/>
        </w:numPr>
        <w:rPr>
          <w:lang w:val="pt-BR" w:eastAsia="en-US" w:bidi="ar-SA"/>
        </w:rPr>
      </w:pPr>
      <w:r>
        <w:rPr>
          <w:lang w:val="pt-BR" w:eastAsia="en-US" w:bidi="ar-SA"/>
        </w:rPr>
        <w:t>Distância B = entre o ponto mais posterior da incisura até o ponto mais posterior da fíbula;</w:t>
      </w:r>
    </w:p>
    <w:p>
      <w:pPr>
        <w:pStyle w:val="Compact"/>
        <w:numPr>
          <w:ilvl w:val="0"/>
          <w:numId w:val="13"/>
        </w:numPr>
        <w:rPr>
          <w:lang w:val="pt-BR" w:eastAsia="en-US" w:bidi="ar-SA"/>
        </w:rPr>
      </w:pPr>
      <w:r>
        <w:rPr>
          <w:lang w:val="pt-BR" w:eastAsia="en-US" w:bidi="ar-SA"/>
        </w:rPr>
        <w:t>Distância C = menor distância entre a tíbia e a fíbula, medida no ponto médio da incisura.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Todas as mensurações foram realizadas por 5 avaliadores independentes, em duas posições (dorsal e plantar). Com base nas distâncias A, B e C foram calculados os parâmetros:</w:t>
      </w:r>
    </w:p>
    <w:p>
      <w:pPr>
        <w:pStyle w:val="Compact"/>
        <w:numPr>
          <w:ilvl w:val="0"/>
          <w:numId w:val="14"/>
        </w:numPr>
        <w:rPr>
          <w:lang w:val="pt-BR" w:eastAsia="en-US" w:bidi="ar-SA"/>
        </w:rPr>
      </w:pPr>
      <w:r>
        <w:rPr>
          <w:lang w:val="pt-BR" w:eastAsia="en-US" w:bidi="ar-SA"/>
        </w:rPr>
        <w:t xml:space="preserve">Rotação 1 = </w:t>
      </w:r>
      <w:r>
        <w:rPr/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A</m:t>
            </m:r>
          </m:num>
          <m:den>
            <m:r>
              <w:rPr>
                <w:rFonts w:ascii="Cambria Math" w:hAnsi="Cambria Math"/>
              </w:rPr>
              <m:t xml:space="preserve">B</m:t>
            </m:r>
          </m:den>
        </m:f>
      </m:oMath>
    </w:p>
    <w:p>
      <w:pPr>
        <w:pStyle w:val="Compact"/>
        <w:numPr>
          <w:ilvl w:val="0"/>
          <w:numId w:val="15"/>
        </w:numPr>
        <w:rPr>
          <w:lang w:val="pt-BR" w:eastAsia="en-US" w:bidi="ar-SA"/>
        </w:rPr>
      </w:pPr>
      <w:r>
        <w:rPr>
          <w:lang w:val="pt-BR" w:eastAsia="en-US" w:bidi="ar-SA"/>
        </w:rPr>
        <w:t xml:space="preserve">Rotação 2 =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A</m:t>
        </m:r>
      </m:oMath>
    </w:p>
    <w:p>
      <w:pPr>
        <w:pStyle w:val="Compact"/>
        <w:numPr>
          <w:ilvl w:val="0"/>
          <w:numId w:val="16"/>
        </w:numPr>
        <w:rPr>
          <w:lang w:val="pt-BR" w:eastAsia="en-US" w:bidi="ar-SA"/>
        </w:rPr>
      </w:pPr>
      <w:r>
        <w:rPr>
          <w:lang w:val="pt-BR" w:eastAsia="en-US" w:bidi="ar-SA"/>
        </w:rPr>
        <w:t xml:space="preserve">Translação lateral =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</m:oMath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Após os cálculos dos parâmetros de rotação e translação, a tabela de dados foi redesenhada de modo que todas as mensurações estejam dispostas em uma única coluna, com as posições dorsal e plantar identificadas em uma variável categórica.</w:t>
      </w:r>
    </w:p>
    <w:p>
      <w:pPr>
        <w:pStyle w:val="TextBody"/>
        <w:rPr>
          <w:lang w:val="pt-BR" w:eastAsia="en-US" w:bidi="ar-SA"/>
        </w:rPr>
      </w:pPr>
      <w:bookmarkStart w:id="6" w:name="contexto"/>
      <w:bookmarkStart w:id="7" w:name="recepção-e-tratamento-dos-dados"/>
      <w:r>
        <w:rPr>
          <w:lang w:val="pt-BR" w:eastAsia="en-US" w:bidi="ar-SA"/>
        </w:rPr>
        <w:t>Depois dos procedimentos de limpeza e seleção 10 variáveis foram incluídas na análise com 348 observações.</w:t>
      </w:r>
      <w:bookmarkEnd w:id="6"/>
      <w:bookmarkEnd w:id="7"/>
    </w:p>
    <w:p>
      <w:pPr>
        <w:pStyle w:val="Heading1"/>
        <w:rPr>
          <w:lang w:val="pt-BR" w:eastAsia="en-US" w:bidi="ar-SA"/>
        </w:rPr>
      </w:pPr>
      <w:bookmarkStart w:id="8" w:name="__RefHeading___Toc4962_4040513560"/>
      <w:bookmarkStart w:id="9" w:name="metodologia"/>
      <w:bookmarkEnd w:id="8"/>
      <w:r>
        <w:rPr>
          <w:lang w:val="pt-BR" w:eastAsia="en-US" w:bidi="ar-SA"/>
        </w:rPr>
        <w:t>Metodologia</w:t>
      </w:r>
    </w:p>
    <w:p>
      <w:pPr>
        <w:pStyle w:val="Heading2"/>
        <w:rPr>
          <w:lang w:val="pt-BR" w:eastAsia="en-US" w:bidi="ar-SA"/>
        </w:rPr>
      </w:pPr>
      <w:bookmarkStart w:id="10" w:name="__RefHeading___Toc4964_4040513560"/>
      <w:bookmarkEnd w:id="10"/>
      <w:r>
        <w:rPr>
          <w:lang w:val="pt-BR" w:eastAsia="en-US" w:bidi="ar-SA"/>
        </w:rPr>
        <w:t>Parâmetros do estudo</w:t>
      </w:r>
    </w:p>
    <w:p>
      <w:pPr>
        <w:pStyle w:val="Heading3"/>
        <w:rPr>
          <w:lang w:val="pt-BR" w:eastAsia="en-US" w:bidi="ar-SA"/>
        </w:rPr>
      </w:pPr>
      <w:bookmarkStart w:id="11" w:name="__RefHeading___Toc4966_4040513560"/>
      <w:bookmarkEnd w:id="11"/>
      <w:r>
        <w:rPr>
          <w:lang w:val="pt-BR" w:eastAsia="en-US" w:bidi="ar-SA"/>
        </w:rPr>
        <w:t>Desenho do estudo</w:t>
      </w:r>
    </w:p>
    <w:p>
      <w:pPr>
        <w:pStyle w:val="FirstParagraph"/>
        <w:rPr>
          <w:lang w:val="pt-BR" w:eastAsia="en-US" w:bidi="ar-SA"/>
        </w:rPr>
      </w:pPr>
      <w:bookmarkStart w:id="12" w:name="desenho-do-estudo"/>
      <w:r>
        <w:rPr>
          <w:lang w:val="pt-BR" w:eastAsia="en-US" w:bidi="ar-SA"/>
        </w:rPr>
        <w:t>Observacional, com coleta de dados transversal.</w:t>
      </w:r>
      <w:bookmarkEnd w:id="12"/>
    </w:p>
    <w:p>
      <w:pPr>
        <w:pStyle w:val="Heading3"/>
        <w:rPr>
          <w:lang w:val="pt-BR" w:eastAsia="en-US" w:bidi="ar-SA"/>
        </w:rPr>
      </w:pPr>
      <w:bookmarkStart w:id="13" w:name="__RefHeading___Toc4968_4040513560"/>
      <w:bookmarkEnd w:id="13"/>
      <w:r>
        <w:rPr>
          <w:lang w:val="pt-BR" w:eastAsia="en-US" w:bidi="ar-SA"/>
        </w:rPr>
        <w:t>Critérios de inclusão e exclusão</w:t>
      </w:r>
    </w:p>
    <w:p>
      <w:pPr>
        <w:pStyle w:val="FirstParagraph"/>
        <w:rPr>
          <w:lang w:val="pt-BR" w:eastAsia="en-US" w:bidi="ar-SA"/>
        </w:rPr>
      </w:pPr>
      <w:bookmarkStart w:id="14" w:name="critérios-de-inclusão-e-exclusão"/>
      <w:r>
        <w:rPr>
          <w:lang w:val="pt-BR" w:eastAsia="en-US" w:bidi="ar-SA"/>
        </w:rPr>
        <w:t>N/A</w:t>
      </w:r>
      <w:bookmarkEnd w:id="14"/>
    </w:p>
    <w:p>
      <w:pPr>
        <w:pStyle w:val="Heading3"/>
        <w:rPr>
          <w:lang w:val="pt-BR" w:eastAsia="en-US" w:bidi="ar-SA"/>
        </w:rPr>
      </w:pPr>
      <w:bookmarkStart w:id="15" w:name="__RefHeading___Toc4970_4040513560"/>
      <w:bookmarkEnd w:id="15"/>
      <w:r>
        <w:rPr>
          <w:lang w:val="pt-BR" w:eastAsia="en-US" w:bidi="ar-SA"/>
        </w:rPr>
        <w:t>Exposições</w:t>
      </w:r>
    </w:p>
    <w:p>
      <w:pPr>
        <w:pStyle w:val="FirstParagraph"/>
        <w:rPr>
          <w:lang w:val="pt-BR" w:eastAsia="en-US" w:bidi="ar-SA"/>
        </w:rPr>
      </w:pPr>
      <w:bookmarkStart w:id="16" w:name="exposições"/>
      <w:r>
        <w:rPr>
          <w:lang w:val="pt-BR" w:eastAsia="en-US" w:bidi="ar-SA"/>
        </w:rPr>
        <w:t>N/A</w:t>
      </w:r>
      <w:bookmarkEnd w:id="16"/>
    </w:p>
    <w:p>
      <w:pPr>
        <w:pStyle w:val="Heading3"/>
        <w:rPr>
          <w:lang w:val="pt-BR" w:eastAsia="en-US" w:bidi="ar-SA"/>
        </w:rPr>
      </w:pPr>
      <w:bookmarkStart w:id="17" w:name="__RefHeading___Toc4972_4040513560"/>
      <w:bookmarkEnd w:id="17"/>
      <w:r>
        <w:rPr>
          <w:lang w:val="pt-BR" w:eastAsia="en-US" w:bidi="ar-SA"/>
        </w:rPr>
        <w:t>Desfechos</w:t>
      </w:r>
    </w:p>
    <w:p>
      <w:pPr>
        <w:pStyle w:val="FirstParagraph"/>
        <w:rPr>
          <w:lang w:val="pt-BR" w:eastAsia="en-US" w:bidi="ar-SA"/>
        </w:rPr>
      </w:pPr>
      <w:bookmarkStart w:id="18" w:name="desfechos"/>
      <w:r>
        <w:rPr>
          <w:lang w:val="pt-BR" w:eastAsia="en-US" w:bidi="ar-SA"/>
        </w:rPr>
        <w:t>Esta análise não avaliará desfecho clínico, portanto não há desfecho a ser definido.</w:t>
      </w:r>
      <w:bookmarkEnd w:id="18"/>
    </w:p>
    <w:p>
      <w:pPr>
        <w:pStyle w:val="Heading3"/>
        <w:rPr>
          <w:lang w:val="pt-BR" w:eastAsia="en-US" w:bidi="ar-SA"/>
        </w:rPr>
      </w:pPr>
      <w:bookmarkStart w:id="19" w:name="__RefHeading___Toc4974_4040513560"/>
      <w:bookmarkEnd w:id="19"/>
      <w:r>
        <w:rPr>
          <w:lang w:val="pt-BR" w:eastAsia="en-US" w:bidi="ar-SA"/>
        </w:rPr>
        <w:t>Covariáveis</w:t>
      </w:r>
    </w:p>
    <w:p>
      <w:pPr>
        <w:pStyle w:val="FirstParagraph"/>
        <w:rPr>
          <w:lang w:val="pt-BR" w:eastAsia="en-US" w:bidi="ar-SA"/>
        </w:rPr>
      </w:pPr>
      <w:bookmarkStart w:id="20" w:name="parâmetros-do-estudo"/>
      <w:bookmarkStart w:id="21" w:name="covariáveis"/>
      <w:r>
        <w:rPr>
          <w:lang w:val="pt-BR" w:eastAsia="en-US" w:bidi="ar-SA"/>
        </w:rPr>
        <w:t>Não foram coletados dados demográficos e clínicos dos participantes de pesquisa.</w:t>
      </w:r>
      <w:bookmarkEnd w:id="20"/>
      <w:bookmarkEnd w:id="21"/>
    </w:p>
    <w:p>
      <w:pPr>
        <w:pStyle w:val="Heading2"/>
        <w:rPr>
          <w:lang w:val="pt-BR" w:eastAsia="en-US" w:bidi="ar-SA"/>
        </w:rPr>
      </w:pPr>
      <w:bookmarkStart w:id="22" w:name="__RefHeading___Toc4976_4040513560"/>
      <w:bookmarkStart w:id="23" w:name="análises-estatísticas"/>
      <w:bookmarkEnd w:id="22"/>
      <w:r>
        <w:rPr>
          <w:lang w:val="pt-BR" w:eastAsia="en-US" w:bidi="ar-SA"/>
        </w:rPr>
        <w:t>Análises Estatísticas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As mensurações referentes às medidas de rotação e translação lateral da fíbula foram descritas como média (DP). As distribuições das mensurações foram resumidas em tabelas e visualizadas em gráficos exploratórios Todas as comparações entre as mensurações foram avaliadas como análises univariadas. As análises foram feitas agrupando-se as medidas de rotação e translação lateral da fíbula por avaliador e por tipo de mensuração. A consistência das mensurações feitas por um mesmo avaliador nas posições dorsal e plantar foram avaliadas com o  teste t pareado.   A consistência entre os avaliadores, quando realizam a mesma mensuração, foi avaliada com a ICC. Todas as avaliações foram realizadas como análises de casos completos. Todas as análises foram realizadas ao nível de significância de 5%. Todos os testes de hipóteses e intervalos de confiança calculados foram bicaudais.</w:t>
      </w:r>
    </w:p>
    <w:p>
      <w:pPr>
        <w:pStyle w:val="TextBody"/>
        <w:rPr/>
      </w:pPr>
      <w:r>
        <w:rPr>
          <w:lang w:val="pt-BR" w:eastAsia="en-US" w:bidi="ar-SA"/>
        </w:rPr>
        <w:t xml:space="preserve">Esta análise foi realizada utilizando-se o software </w:t>
      </w:r>
      <w:r>
        <w:rPr>
          <w:rStyle w:val="VerbatimChar"/>
          <w:lang w:val="pt-BR" w:eastAsia="en-US" w:bidi="ar-SA"/>
        </w:rPr>
        <w:t>R</w:t>
      </w:r>
      <w:r>
        <w:rPr>
          <w:lang w:val="pt-BR" w:eastAsia="en-US" w:bidi="ar-SA"/>
        </w:rPr>
        <w:t xml:space="preserve"> versão 4.1.3.</w:t>
      </w:r>
      <w:bookmarkEnd w:id="9"/>
      <w:bookmarkEnd w:id="23"/>
    </w:p>
    <w:p>
      <w:pPr>
        <w:pStyle w:val="Heading1"/>
        <w:rPr>
          <w:lang w:val="pt-BR" w:eastAsia="en-US" w:bidi="ar-SA"/>
        </w:rPr>
      </w:pPr>
      <w:bookmarkStart w:id="24" w:name="__RefHeading___Toc4978_4040513560"/>
      <w:bookmarkEnd w:id="24"/>
      <w:r>
        <w:rPr>
          <w:lang w:val="pt-BR" w:eastAsia="en-US" w:bidi="ar-SA"/>
        </w:rPr>
        <w:t>Resultados</w:t>
      </w:r>
    </w:p>
    <w:p>
      <w:pPr>
        <w:pStyle w:val="Heading2"/>
        <w:rPr>
          <w:lang w:val="pt-BR" w:eastAsia="en-US" w:bidi="ar-SA"/>
        </w:rPr>
      </w:pPr>
      <w:bookmarkStart w:id="25" w:name="__RefHeading___Toc4980_4040513560"/>
      <w:bookmarkStart w:id="26" w:name="população-do-estudo-e-acompanhamento"/>
      <w:bookmarkEnd w:id="25"/>
      <w:bookmarkEnd w:id="26"/>
      <w:r>
        <w:rPr>
          <w:lang w:val="pt-BR" w:eastAsia="en-US" w:bidi="ar-SA"/>
        </w:rPr>
        <w:t>População do estudo e acompanhamento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Ao todo 47 participantes foram incluídos no estudo. Mensurações de cinco métricas foram realizadas em duas posições, plantar e dorsal (Tabela 1, Figura 1), por cinco avaliadores diferentes. A partir das distâncias A e B as métricas Rotação 1 e Rotação 2 foram calculadas.</w:t>
      </w:r>
    </w:p>
    <w:p>
      <w:pPr>
        <w:pStyle w:val="TableCaption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Tabela 1</w:t>
      </w:r>
      <w:r>
        <w:rPr>
          <w:lang w:val="pt-BR" w:eastAsia="en-US" w:bidi="ar-SA"/>
        </w:rPr>
        <w:t xml:space="preserve"> Mensurações do estudo (N = 47 participantes, 5 avaliadores).</w:t>
      </w:r>
    </w:p>
    <w:tbl>
      <w:tblPr>
        <w:tblStyle w:val="Table"/>
        <w:tblW w:w="5000" w:type="pct"/>
        <w:jc w:val="left"/>
        <w:tblInd w:w="-5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4390"/>
        <w:gridCol w:w="2562"/>
        <w:gridCol w:w="2686"/>
      </w:tblGrid>
      <w:tr>
        <w:trPr/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Mensurações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Dorsal, N = 174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Plantar, N = 174</w:t>
            </w:r>
          </w:p>
        </w:tc>
      </w:tr>
      <w:tr>
        <w:trPr/>
        <w:tc>
          <w:tcPr>
            <w:tcW w:w="43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left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Distância A, Média (Desvio Padrão)</w:t>
            </w:r>
          </w:p>
        </w:tc>
        <w:tc>
          <w:tcPr>
            <w:tcW w:w="25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0.33 (0.12)</w:t>
            </w:r>
          </w:p>
        </w:tc>
        <w:tc>
          <w:tcPr>
            <w:tcW w:w="26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0.35 (0.13)</w:t>
            </w:r>
          </w:p>
        </w:tc>
      </w:tr>
      <w:tr>
        <w:trPr/>
        <w:tc>
          <w:tcPr>
            <w:tcW w:w="43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Desconhecido</w:t>
            </w:r>
          </w:p>
        </w:tc>
        <w:tc>
          <w:tcPr>
            <w:tcW w:w="25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11</w:t>
            </w:r>
          </w:p>
        </w:tc>
        <w:tc>
          <w:tcPr>
            <w:tcW w:w="26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10</w:t>
            </w:r>
          </w:p>
        </w:tc>
      </w:tr>
      <w:tr>
        <w:trPr/>
        <w:tc>
          <w:tcPr>
            <w:tcW w:w="43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left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Distância B, Média (Desvio Padrão)</w:t>
            </w:r>
          </w:p>
        </w:tc>
        <w:tc>
          <w:tcPr>
            <w:tcW w:w="25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0.66 (0.21)</w:t>
            </w:r>
          </w:p>
        </w:tc>
        <w:tc>
          <w:tcPr>
            <w:tcW w:w="26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0.63 (0.25)</w:t>
            </w:r>
          </w:p>
        </w:tc>
      </w:tr>
      <w:tr>
        <w:trPr/>
        <w:tc>
          <w:tcPr>
            <w:tcW w:w="43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Desconhecido</w:t>
            </w:r>
          </w:p>
        </w:tc>
        <w:tc>
          <w:tcPr>
            <w:tcW w:w="25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11</w:t>
            </w:r>
          </w:p>
        </w:tc>
        <w:tc>
          <w:tcPr>
            <w:tcW w:w="26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10</w:t>
            </w:r>
          </w:p>
        </w:tc>
      </w:tr>
      <w:tr>
        <w:trPr/>
        <w:tc>
          <w:tcPr>
            <w:tcW w:w="43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left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Distância C, Média (Desvio Padrão)</w:t>
            </w:r>
          </w:p>
        </w:tc>
        <w:tc>
          <w:tcPr>
            <w:tcW w:w="25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0.32 (0.12)</w:t>
            </w:r>
          </w:p>
        </w:tc>
        <w:tc>
          <w:tcPr>
            <w:tcW w:w="26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0.35 (0.16)</w:t>
            </w:r>
          </w:p>
        </w:tc>
      </w:tr>
      <w:tr>
        <w:trPr/>
        <w:tc>
          <w:tcPr>
            <w:tcW w:w="43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Desconhecido</w:t>
            </w:r>
          </w:p>
        </w:tc>
        <w:tc>
          <w:tcPr>
            <w:tcW w:w="25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11</w:t>
            </w:r>
          </w:p>
        </w:tc>
        <w:tc>
          <w:tcPr>
            <w:tcW w:w="26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10</w:t>
            </w:r>
          </w:p>
        </w:tc>
      </w:tr>
      <w:tr>
        <w:trPr/>
        <w:tc>
          <w:tcPr>
            <w:tcW w:w="43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left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Rotação 1, Média (Desvio Padrão)</w:t>
            </w:r>
          </w:p>
        </w:tc>
        <w:tc>
          <w:tcPr>
            <w:tcW w:w="25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0.53 (0.19)</w:t>
            </w:r>
          </w:p>
        </w:tc>
        <w:tc>
          <w:tcPr>
            <w:tcW w:w="26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0.62 (0.30)</w:t>
            </w:r>
          </w:p>
        </w:tc>
      </w:tr>
      <w:tr>
        <w:trPr/>
        <w:tc>
          <w:tcPr>
            <w:tcW w:w="43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Desconhecido</w:t>
            </w:r>
          </w:p>
        </w:tc>
        <w:tc>
          <w:tcPr>
            <w:tcW w:w="25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11</w:t>
            </w:r>
          </w:p>
        </w:tc>
        <w:tc>
          <w:tcPr>
            <w:tcW w:w="26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10</w:t>
            </w:r>
          </w:p>
        </w:tc>
      </w:tr>
      <w:tr>
        <w:trPr/>
        <w:tc>
          <w:tcPr>
            <w:tcW w:w="43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left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Rotação 2, Média (Desvio Padrão)</w:t>
            </w:r>
          </w:p>
        </w:tc>
        <w:tc>
          <w:tcPr>
            <w:tcW w:w="25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0.33 (0.19)</w:t>
            </w:r>
          </w:p>
        </w:tc>
        <w:tc>
          <w:tcPr>
            <w:tcW w:w="26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0.28 (0.22)</w:t>
            </w:r>
          </w:p>
        </w:tc>
      </w:tr>
      <w:tr>
        <w:trPr/>
        <w:tc>
          <w:tcPr>
            <w:tcW w:w="43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Desconhecido</w:t>
            </w:r>
          </w:p>
        </w:tc>
        <w:tc>
          <w:tcPr>
            <w:tcW w:w="25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11</w:t>
            </w:r>
          </w:p>
        </w:tc>
        <w:tc>
          <w:tcPr>
            <w:tcW w:w="26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10</w:t>
            </w:r>
          </w:p>
        </w:tc>
      </w:tr>
      <w:tr>
        <w:trPr/>
        <w:tc>
          <w:tcPr>
            <w:tcW w:w="43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left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Phisitiku, Média (Desvio Padrão)</w:t>
            </w:r>
          </w:p>
        </w:tc>
        <w:tc>
          <w:tcPr>
            <w:tcW w:w="25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0.20 (0.15)</w:t>
            </w:r>
          </w:p>
        </w:tc>
        <w:tc>
          <w:tcPr>
            <w:tcW w:w="26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0.20 (0.15)</w:t>
            </w:r>
          </w:p>
        </w:tc>
      </w:tr>
      <w:tr>
        <w:trPr/>
        <w:tc>
          <w:tcPr>
            <w:tcW w:w="43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Desconhecido</w:t>
            </w:r>
          </w:p>
        </w:tc>
        <w:tc>
          <w:tcPr>
            <w:tcW w:w="25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11</w:t>
            </w:r>
          </w:p>
        </w:tc>
        <w:tc>
          <w:tcPr>
            <w:tcW w:w="26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10</w:t>
            </w:r>
          </w:p>
        </w:tc>
      </w:tr>
      <w:tr>
        <w:trPr/>
        <w:tc>
          <w:tcPr>
            <w:tcW w:w="43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left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Zwipp, Média (Desvio Padrão)</w:t>
            </w:r>
          </w:p>
        </w:tc>
        <w:tc>
          <w:tcPr>
            <w:tcW w:w="25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89 (8)</w:t>
            </w:r>
          </w:p>
        </w:tc>
        <w:tc>
          <w:tcPr>
            <w:tcW w:w="26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90 (8)</w:t>
            </w:r>
          </w:p>
        </w:tc>
      </w:tr>
      <w:tr>
        <w:trPr/>
        <w:tc>
          <w:tcPr>
            <w:tcW w:w="43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Desconhecido</w:t>
            </w:r>
          </w:p>
        </w:tc>
        <w:tc>
          <w:tcPr>
            <w:tcW w:w="256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11</w:t>
            </w:r>
          </w:p>
        </w:tc>
        <w:tc>
          <w:tcPr>
            <w:tcW w:w="26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10</w:t>
            </w:r>
          </w:p>
        </w:tc>
      </w:tr>
    </w:tbl>
    <w:p>
      <w:pPr>
        <w:pStyle w:val="TextBody"/>
        <w:rPr>
          <w:lang w:val="pt-BR" w:eastAsia="en-US" w:bidi="ar-SA"/>
        </w:rPr>
      </w:pPr>
      <w:r>
        <w:rPr>
          <w:lang w:val="pt-BR" w:eastAsia="en-US" w:bidi="ar-SA"/>
        </w:rPr>
        <w:t>As distribuições das mensurações mostram razoável consistência nas mensurações brutas, com boa parte dos parâmetros apresentando distribuições unimodais razoavelmente simétricas tanto na posição dorsal como plantar. Uma possível exceção é a Distância B, mas esta aparente bimodalidade da distribuição parece não se refletir em complexidade na distribuição dos parâmetros calculados a partir dela: as rotações externas ROT1 e ROT2 (figura 1) não apresentam características particularmente complexas em suas distribuições.</w:t>
      </w:r>
    </w:p>
    <w:p>
      <w:pPr>
        <w:pStyle w:val="CaptionedFigure"/>
        <w:rPr>
          <w:lang w:val="pt-BR" w:eastAsia="en-US" w:bidi="ar-SA"/>
        </w:rPr>
      </w:pPr>
      <w:r>
        <w:rPr/>
        <w:drawing>
          <wp:inline distT="0" distB="0" distL="0" distR="0">
            <wp:extent cx="4333240" cy="4333240"/>
            <wp:effectExtent l="0" t="0" r="0" b="0"/>
            <wp:docPr id="3" name="Picture" descr="Figura 1 Distribuição de densidade das mensurações do estud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Figura 1 Distribuição de densidade das mensurações do estudo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Figura 1</w:t>
      </w:r>
      <w:r>
        <w:rPr>
          <w:lang w:val="pt-BR" w:eastAsia="en-US" w:bidi="ar-SA"/>
        </w:rPr>
        <w:t xml:space="preserve"> Distribuição de densidade das mensurações do estudo.</w:t>
      </w:r>
    </w:p>
    <w:p>
      <w:pPr>
        <w:pStyle w:val="TextBody"/>
        <w:rPr>
          <w:lang w:val="pt-BR" w:eastAsia="en-US" w:bidi="ar-SA"/>
        </w:rPr>
      </w:pPr>
      <w:r>
        <w:rPr>
          <w:lang w:val="pt-BR" w:eastAsia="en-US" w:bidi="ar-SA"/>
        </w:rPr>
        <w:t>A tabela 2 exibe o resumo numérico das distribuições dos parâmetros, mensurados nos 47 participantes, estratificada por avaliador. Esta tabela indica a dificuldade em se realizar as mensurações dos parâmetros avaliados. Embora a variabilidade de cada parâmetro mensurado pelos avaliadores seja baixa, relativa à sua média, as médias de cada parâmetro variam notavelmente entre um avaliador e outro.</w:t>
      </w:r>
    </w:p>
    <w:p>
      <w:pPr>
        <w:pStyle w:val="TextBody"/>
        <w:rPr>
          <w:lang w:val="pt-BR" w:eastAsia="en-US" w:bidi="ar-SA"/>
        </w:rPr>
      </w:pPr>
      <w:r>
        <w:rPr>
          <w:lang w:val="pt-BR" w:eastAsia="en-US" w:bidi="ar-SA"/>
        </w:rPr>
      </w:r>
    </w:p>
    <w:p>
      <w:pPr>
        <w:pStyle w:val="TextBody"/>
        <w:rPr>
          <w:lang w:val="pt-BR" w:eastAsia="en-US" w:bidi="ar-SA"/>
        </w:rPr>
      </w:pPr>
      <w:r>
        <w:rPr>
          <w:lang w:val="pt-BR" w:eastAsia="en-US" w:bidi="ar-SA"/>
        </w:rPr>
      </w:r>
    </w:p>
    <w:p>
      <w:pPr>
        <w:pStyle w:val="TableCaption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Tabela 2</w:t>
      </w:r>
      <w:r>
        <w:rPr>
          <w:lang w:val="pt-BR" w:eastAsia="en-US" w:bidi="ar-SA"/>
        </w:rPr>
        <w:t xml:space="preserve"> Mensurações de cada avaliador.</w:t>
      </w:r>
    </w:p>
    <w:tbl>
      <w:tblPr>
        <w:tblStyle w:val="Table"/>
        <w:tblW w:w="9637" w:type="dxa"/>
        <w:jc w:val="left"/>
        <w:tblInd w:w="-5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3371"/>
        <w:gridCol w:w="1253"/>
        <w:gridCol w:w="1253"/>
        <w:gridCol w:w="1254"/>
        <w:gridCol w:w="1254"/>
        <w:gridCol w:w="1251"/>
      </w:tblGrid>
      <w:tr>
        <w:trPr/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Mensuraç</w:t>
            </w:r>
            <w:r>
              <w:rPr>
                <w:rFonts w:eastAsia="Noto Serif CJK SC" w:cs="Lohit Devanaga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0"/>
                <w:szCs w:val="20"/>
                <w:u w:val="none"/>
                <w:lang w:val="pt-BR" w:eastAsia="en-US" w:bidi="ar-SA"/>
              </w:rPr>
              <w:t>ões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Avaliador 1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Avaliador 2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Avaliador 3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Avaliador 4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Avaliador 5</w:t>
            </w:r>
          </w:p>
        </w:tc>
      </w:tr>
      <w:tr>
        <w:trPr/>
        <w:tc>
          <w:tcPr>
            <w:tcW w:w="33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left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Distância A, Média (Desvio Padrão)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0.42 (0.11)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0.35 (0.14)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0.35 (0.12)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0.38 (0.13)</w:t>
            </w:r>
          </w:p>
        </w:tc>
        <w:tc>
          <w:tcPr>
            <w:tcW w:w="12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0.26 (0.10)</w:t>
            </w:r>
          </w:p>
        </w:tc>
      </w:tr>
      <w:tr>
        <w:trPr/>
        <w:tc>
          <w:tcPr>
            <w:tcW w:w="33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Desconhecido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7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2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</w:t>
            </w:r>
          </w:p>
        </w:tc>
        <w:tc>
          <w:tcPr>
            <w:tcW w:w="12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1</w:t>
            </w:r>
          </w:p>
        </w:tc>
      </w:tr>
      <w:tr>
        <w:trPr/>
        <w:tc>
          <w:tcPr>
            <w:tcW w:w="33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left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Distância A, Média (Desvio Padrão)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0.41 (0.10)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0.33 (0.11)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0.31 (0.10)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0.36 (0.13)</w:t>
            </w:r>
          </w:p>
        </w:tc>
        <w:tc>
          <w:tcPr>
            <w:tcW w:w="12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0.28 (0.10)</w:t>
            </w:r>
          </w:p>
        </w:tc>
      </w:tr>
      <w:tr>
        <w:trPr/>
        <w:tc>
          <w:tcPr>
            <w:tcW w:w="33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Desconhecido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8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2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</w:t>
            </w:r>
          </w:p>
        </w:tc>
        <w:tc>
          <w:tcPr>
            <w:tcW w:w="12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1</w:t>
            </w:r>
          </w:p>
        </w:tc>
      </w:tr>
      <w:tr>
        <w:trPr/>
        <w:tc>
          <w:tcPr>
            <w:tcW w:w="33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left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Distância B, Média (Desvio Padrão)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0.78 (0.18)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0.71 (0.23)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0.45 (0.22)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0.79 (0.22)</w:t>
            </w:r>
          </w:p>
        </w:tc>
        <w:tc>
          <w:tcPr>
            <w:tcW w:w="12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0.43 (0.11)</w:t>
            </w:r>
          </w:p>
        </w:tc>
      </w:tr>
      <w:tr>
        <w:trPr/>
        <w:tc>
          <w:tcPr>
            <w:tcW w:w="33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Desconhecido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7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2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</w:t>
            </w:r>
          </w:p>
        </w:tc>
        <w:tc>
          <w:tcPr>
            <w:tcW w:w="12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1</w:t>
            </w:r>
          </w:p>
        </w:tc>
      </w:tr>
      <w:tr>
        <w:trPr/>
        <w:tc>
          <w:tcPr>
            <w:tcW w:w="33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left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Distância B, Média (Desvio Padrão)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0.78 (0.20)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0.72 (0.17)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0.64 (0.16)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0.75 (0.20)</w:t>
            </w:r>
          </w:p>
        </w:tc>
        <w:tc>
          <w:tcPr>
            <w:tcW w:w="12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0.46 (0.11)</w:t>
            </w:r>
          </w:p>
        </w:tc>
      </w:tr>
      <w:tr>
        <w:trPr/>
        <w:tc>
          <w:tcPr>
            <w:tcW w:w="33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Desconhecido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8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2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</w:t>
            </w:r>
          </w:p>
        </w:tc>
        <w:tc>
          <w:tcPr>
            <w:tcW w:w="12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1</w:t>
            </w:r>
          </w:p>
        </w:tc>
      </w:tr>
      <w:tr>
        <w:trPr/>
        <w:tc>
          <w:tcPr>
            <w:tcW w:w="33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left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Distância C, Média (Desvio Padrão)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0.33 (0.12)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0.32 (0.14)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0.53 (0.20)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0.33 (0.12)</w:t>
            </w:r>
          </w:p>
        </w:tc>
        <w:tc>
          <w:tcPr>
            <w:tcW w:w="12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0.28 (0.10)</w:t>
            </w:r>
          </w:p>
        </w:tc>
      </w:tr>
      <w:tr>
        <w:trPr/>
        <w:tc>
          <w:tcPr>
            <w:tcW w:w="33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Desconhecido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7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2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</w:t>
            </w:r>
          </w:p>
        </w:tc>
        <w:tc>
          <w:tcPr>
            <w:tcW w:w="12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1</w:t>
            </w:r>
          </w:p>
        </w:tc>
      </w:tr>
      <w:tr>
        <w:trPr/>
        <w:tc>
          <w:tcPr>
            <w:tcW w:w="33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left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Distância C, Média (Desvio Padrão)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0.34 (0.13)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0.33 (0.12)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0.33 (0.12)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0.33 (0.12)</w:t>
            </w:r>
          </w:p>
        </w:tc>
        <w:tc>
          <w:tcPr>
            <w:tcW w:w="12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0.29 (0.09)</w:t>
            </w:r>
          </w:p>
        </w:tc>
      </w:tr>
      <w:tr>
        <w:trPr/>
        <w:tc>
          <w:tcPr>
            <w:tcW w:w="33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Desconhecido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8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2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</w:t>
            </w:r>
          </w:p>
        </w:tc>
        <w:tc>
          <w:tcPr>
            <w:tcW w:w="12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1</w:t>
            </w:r>
          </w:p>
        </w:tc>
      </w:tr>
      <w:tr>
        <w:trPr/>
        <w:tc>
          <w:tcPr>
            <w:tcW w:w="33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left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Rotação 1, Média (Desvio Padrão)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0.55 (0.14)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0.52 (0.23)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0.88 (0.41)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0.51 (0.20)</w:t>
            </w:r>
          </w:p>
        </w:tc>
        <w:tc>
          <w:tcPr>
            <w:tcW w:w="12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0.64 (0.29)</w:t>
            </w:r>
          </w:p>
        </w:tc>
      </w:tr>
      <w:tr>
        <w:trPr/>
        <w:tc>
          <w:tcPr>
            <w:tcW w:w="33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Desconhecido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7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2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</w:t>
            </w:r>
          </w:p>
        </w:tc>
        <w:tc>
          <w:tcPr>
            <w:tcW w:w="12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1</w:t>
            </w:r>
          </w:p>
        </w:tc>
      </w:tr>
      <w:tr>
        <w:trPr/>
        <w:tc>
          <w:tcPr>
            <w:tcW w:w="33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left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Rotação 1, Média (Desvio Padrão)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0.54 (0.13)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0.47 (0.17)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0.50 (0.20)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0.50 (0.21)</w:t>
            </w:r>
          </w:p>
        </w:tc>
        <w:tc>
          <w:tcPr>
            <w:tcW w:w="12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0.62 (0.22)</w:t>
            </w:r>
          </w:p>
        </w:tc>
      </w:tr>
      <w:tr>
        <w:trPr/>
        <w:tc>
          <w:tcPr>
            <w:tcW w:w="33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Desconhecido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8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2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</w:t>
            </w:r>
          </w:p>
        </w:tc>
        <w:tc>
          <w:tcPr>
            <w:tcW w:w="12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1</w:t>
            </w:r>
          </w:p>
        </w:tc>
      </w:tr>
      <w:tr>
        <w:trPr/>
        <w:tc>
          <w:tcPr>
            <w:tcW w:w="33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left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Rotação 2, Média (Desvio Padrão)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0.36 (0.16)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0.36 (0.22)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0.10 (0.20)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0.41 (0.23)</w:t>
            </w:r>
          </w:p>
        </w:tc>
        <w:tc>
          <w:tcPr>
            <w:tcW w:w="12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0.17 (0.12)</w:t>
            </w:r>
          </w:p>
        </w:tc>
      </w:tr>
      <w:tr>
        <w:trPr/>
        <w:tc>
          <w:tcPr>
            <w:tcW w:w="33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Desconhecido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7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2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</w:t>
            </w:r>
          </w:p>
        </w:tc>
        <w:tc>
          <w:tcPr>
            <w:tcW w:w="12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1</w:t>
            </w:r>
          </w:p>
        </w:tc>
      </w:tr>
      <w:tr>
        <w:trPr/>
        <w:tc>
          <w:tcPr>
            <w:tcW w:w="33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left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Rotação 2, Média (Desvio Padrão)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0.38 (0.17)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0.39 (0.17)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0.33 (0.16)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0.39 (0.23)</w:t>
            </w:r>
          </w:p>
        </w:tc>
        <w:tc>
          <w:tcPr>
            <w:tcW w:w="12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0.18 (0.11)</w:t>
            </w:r>
          </w:p>
        </w:tc>
      </w:tr>
      <w:tr>
        <w:trPr/>
        <w:tc>
          <w:tcPr>
            <w:tcW w:w="33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Desconhecido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8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2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</w:t>
            </w:r>
          </w:p>
        </w:tc>
        <w:tc>
          <w:tcPr>
            <w:tcW w:w="12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1</w:t>
            </w:r>
          </w:p>
        </w:tc>
      </w:tr>
      <w:tr>
        <w:trPr/>
        <w:tc>
          <w:tcPr>
            <w:tcW w:w="33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left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Phisitiku, Média (Desvio Padrão)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0.21 (0.15)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0.20 (0.15)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0.27 (0.15)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0.23 (0.10)</w:t>
            </w:r>
          </w:p>
        </w:tc>
        <w:tc>
          <w:tcPr>
            <w:tcW w:w="12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0.11 (0.15)</w:t>
            </w:r>
          </w:p>
        </w:tc>
      </w:tr>
      <w:tr>
        <w:trPr/>
        <w:tc>
          <w:tcPr>
            <w:tcW w:w="33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Desconhecido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7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2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</w:t>
            </w:r>
          </w:p>
        </w:tc>
        <w:tc>
          <w:tcPr>
            <w:tcW w:w="12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1</w:t>
            </w:r>
          </w:p>
        </w:tc>
      </w:tr>
      <w:tr>
        <w:trPr/>
        <w:tc>
          <w:tcPr>
            <w:tcW w:w="33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left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Phisitiku, Média (Desvio Padrão)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0.19 (0.11)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0.15 (0.15)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0.32 (0.19)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0.21 (0.09)</w:t>
            </w:r>
          </w:p>
        </w:tc>
        <w:tc>
          <w:tcPr>
            <w:tcW w:w="12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0.12 (0.11)</w:t>
            </w:r>
          </w:p>
        </w:tc>
      </w:tr>
      <w:tr>
        <w:trPr/>
        <w:tc>
          <w:tcPr>
            <w:tcW w:w="33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Desconhecido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8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2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</w:t>
            </w:r>
          </w:p>
        </w:tc>
        <w:tc>
          <w:tcPr>
            <w:tcW w:w="12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1</w:t>
            </w:r>
          </w:p>
        </w:tc>
      </w:tr>
      <w:tr>
        <w:trPr/>
        <w:tc>
          <w:tcPr>
            <w:tcW w:w="33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left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Zwipp, Média (Desvio Padrão)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85 (11)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92 (8)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92 (7)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91 (7)</w:t>
            </w:r>
          </w:p>
        </w:tc>
        <w:tc>
          <w:tcPr>
            <w:tcW w:w="12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91 (7)</w:t>
            </w:r>
          </w:p>
        </w:tc>
      </w:tr>
      <w:tr>
        <w:trPr/>
        <w:tc>
          <w:tcPr>
            <w:tcW w:w="33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Desconhecido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7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2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</w:t>
            </w:r>
          </w:p>
        </w:tc>
        <w:tc>
          <w:tcPr>
            <w:tcW w:w="12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1</w:t>
            </w:r>
          </w:p>
        </w:tc>
      </w:tr>
      <w:tr>
        <w:trPr/>
        <w:tc>
          <w:tcPr>
            <w:tcW w:w="33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left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Zwipp, Média (Desvio Padrão)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84 (8)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91 (7)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91 (8)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91 (8)</w:t>
            </w:r>
          </w:p>
        </w:tc>
        <w:tc>
          <w:tcPr>
            <w:tcW w:w="12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88 (7)</w:t>
            </w:r>
          </w:p>
        </w:tc>
      </w:tr>
      <w:tr>
        <w:trPr/>
        <w:tc>
          <w:tcPr>
            <w:tcW w:w="33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Desconhecido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8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2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</w:t>
            </w:r>
          </w:p>
        </w:tc>
        <w:tc>
          <w:tcPr>
            <w:tcW w:w="12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1</w:t>
            </w:r>
          </w:p>
        </w:tc>
      </w:tr>
    </w:tbl>
    <w:p>
      <w:pPr>
        <w:pStyle w:val="TextBody"/>
        <w:rPr>
          <w:lang w:val="pt-BR" w:eastAsia="en-US" w:bidi="ar-SA"/>
        </w:rPr>
      </w:pPr>
      <w:bookmarkStart w:id="27" w:name="população-do-estudo-e-acompanhamento1"/>
      <w:bookmarkEnd w:id="27"/>
      <w:r>
        <w:rPr>
          <w:lang w:val="pt-BR" w:eastAsia="en-US" w:bidi="ar-SA"/>
        </w:rPr>
        <w:t>As consistências das mensurações dos parâmetros (como proxy da dificuldade em realizar a mensuração) será avaliada na próxima seção.</w:t>
      </w:r>
    </w:p>
    <w:p>
      <w:pPr>
        <w:pStyle w:val="Heading2"/>
        <w:rPr>
          <w:lang w:val="pt-BR" w:eastAsia="en-US" w:bidi="ar-SA"/>
        </w:rPr>
      </w:pPr>
      <w:bookmarkStart w:id="28" w:name="__RefHeading___Toc4982_4040513560"/>
      <w:bookmarkEnd w:id="28"/>
      <w:r>
        <w:rPr>
          <w:lang w:val="pt-BR" w:eastAsia="en-US" w:bidi="ar-SA"/>
        </w:rPr>
        <w:t>Consistência das mensurações radiológicas para avaliação de sindesmose</w:t>
      </w:r>
    </w:p>
    <w:p>
      <w:pPr>
        <w:pStyle w:val="Heading3"/>
        <w:rPr>
          <w:lang w:val="pt-BR" w:eastAsia="en-US" w:bidi="ar-SA"/>
        </w:rPr>
      </w:pPr>
      <w:bookmarkStart w:id="29" w:name="__RefHeading___Toc4984_4040513560"/>
      <w:bookmarkStart w:id="30" w:name="consistência-intra-avaliador"/>
      <w:bookmarkEnd w:id="29"/>
      <w:bookmarkEnd w:id="30"/>
      <w:r>
        <w:rPr>
          <w:lang w:val="pt-BR" w:eastAsia="en-US" w:bidi="ar-SA"/>
        </w:rPr>
        <w:t>Consistência intra-avaliador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A consistência intra-avaliador foi avaliada comparando as médias pareadas entre as posições dorsal e plantar (Tabela 3). As três mensurações principais (Rotação 1, Rotação 2 e Distância C) foram significativamente diferentes entre as posições. Não há evidências de que as mensurações Phisitiku e Zwipp sejam diferentes entre as duas posições.</w:t>
      </w:r>
    </w:p>
    <w:p>
      <w:pPr>
        <w:pStyle w:val="TableCaption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Tabela 3</w:t>
      </w:r>
      <w:r>
        <w:rPr>
          <w:lang w:val="pt-BR" w:eastAsia="en-US" w:bidi="ar-SA"/>
        </w:rPr>
        <w:t xml:space="preserve"> Comparação intra-avaliador dos parâmetros indicativos de sindesmose.</w:t>
      </w:r>
    </w:p>
    <w:tbl>
      <w:tblPr>
        <w:tblStyle w:val="Table"/>
        <w:tblW w:w="5000" w:type="pct"/>
        <w:jc w:val="left"/>
        <w:tblInd w:w="-5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2766"/>
        <w:gridCol w:w="1658"/>
        <w:gridCol w:w="1739"/>
        <w:gridCol w:w="1184"/>
        <w:gridCol w:w="1264"/>
        <w:gridCol w:w="1026"/>
      </w:tblGrid>
      <w:tr>
        <w:trPr/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Mensurações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Dorsal, N = 163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Plantar, N = 163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Diferença</w:t>
            </w:r>
            <w:r>
              <w:rPr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vertAlign w:val="superscript"/>
                <w:lang w:val="pt-BR" w:eastAsia="en-US" w:bidi="ar-SA"/>
              </w:rPr>
              <w:t>1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95% IC</w:t>
            </w:r>
            <w:r>
              <w:rPr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vertAlign w:val="superscript"/>
                <w:lang w:val="pt-BR" w:eastAsia="en-US" w:bidi="ar-SA"/>
              </w:rPr>
              <w:t>1,2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Valor p</w:t>
            </w:r>
            <w:r>
              <w:rPr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vertAlign w:val="superscript"/>
                <w:lang w:val="pt-BR" w:eastAsia="en-US" w:bidi="ar-SA"/>
              </w:rPr>
              <w:t>1</w:t>
            </w:r>
          </w:p>
        </w:tc>
      </w:tr>
      <w:tr>
        <w:trPr/>
        <w:tc>
          <w:tcPr>
            <w:tcW w:w="276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left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Rotaç</w:t>
            </w:r>
            <w:r>
              <w:rPr>
                <w:rFonts w:eastAsia="Cambria" w:cs="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8"/>
                <w:szCs w:val="18"/>
                <w:u w:val="none"/>
                <w:lang w:val="pt-BR" w:eastAsia="en-US" w:bidi="ar-SA"/>
              </w:rPr>
              <w:t>ã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o 1, M</w:t>
            </w:r>
            <w:r>
              <w:rPr>
                <w:rFonts w:eastAsia="Cambria" w:cs="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18"/>
                <w:szCs w:val="18"/>
                <w:u w:val="none"/>
                <w:lang w:val="pt-BR" w:eastAsia="en-US" w:bidi="ar-SA"/>
              </w:rPr>
              <w:t>é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dia (Desvio Padrão)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0,53 (0,19)</w:t>
            </w:r>
          </w:p>
        </w:tc>
        <w:tc>
          <w:tcPr>
            <w:tcW w:w="17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0,62 (0,30)</w:t>
            </w: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0,09</w:t>
            </w:r>
          </w:p>
        </w:tc>
        <w:tc>
          <w:tcPr>
            <w:tcW w:w="12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0,04 até 0,14</w:t>
            </w:r>
          </w:p>
        </w:tc>
        <w:tc>
          <w:tcPr>
            <w:tcW w:w="10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&lt;0,001</w:t>
            </w:r>
          </w:p>
        </w:tc>
      </w:tr>
      <w:tr>
        <w:trPr/>
        <w:tc>
          <w:tcPr>
            <w:tcW w:w="276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left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Rotação 2, M</w:t>
            </w:r>
            <w:r>
              <w:rPr>
                <w:rFonts w:eastAsia="Cambria" w:cs="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18"/>
                <w:szCs w:val="18"/>
                <w:u w:val="none"/>
                <w:lang w:val="pt-BR" w:eastAsia="en-US" w:bidi="ar-SA"/>
              </w:rPr>
              <w:t>é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dia (Desvio Padrão)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0,33 (0,19)</w:t>
            </w:r>
          </w:p>
        </w:tc>
        <w:tc>
          <w:tcPr>
            <w:tcW w:w="17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0,28 (0,23)</w:t>
            </w: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-0,05</w:t>
            </w:r>
          </w:p>
        </w:tc>
        <w:tc>
          <w:tcPr>
            <w:tcW w:w="12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-0,08 até -0,02</w:t>
            </w:r>
          </w:p>
        </w:tc>
        <w:tc>
          <w:tcPr>
            <w:tcW w:w="10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0,004</w:t>
            </w:r>
          </w:p>
        </w:tc>
      </w:tr>
      <w:tr>
        <w:trPr/>
        <w:tc>
          <w:tcPr>
            <w:tcW w:w="276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left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Dist</w:t>
            </w:r>
            <w:r>
              <w:rPr>
                <w:rFonts w:eastAsia="Cambria" w:cs="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8"/>
                <w:szCs w:val="18"/>
                <w:u w:val="none"/>
                <w:lang w:val="pt-BR" w:eastAsia="en-US" w:bidi="ar-SA"/>
              </w:rPr>
              <w:t>â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ncia C, M</w:t>
            </w:r>
            <w:r>
              <w:rPr>
                <w:rFonts w:eastAsia="Cambria" w:cs="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18"/>
                <w:szCs w:val="18"/>
                <w:u w:val="none"/>
                <w:lang w:val="pt-BR" w:eastAsia="en-US" w:bidi="ar-SA"/>
              </w:rPr>
              <w:t>é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dia (Desvio Padrão)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0,32 (0,12)</w:t>
            </w:r>
          </w:p>
        </w:tc>
        <w:tc>
          <w:tcPr>
            <w:tcW w:w="17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0,35 (0,16)</w:t>
            </w: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0,03</w:t>
            </w:r>
          </w:p>
        </w:tc>
        <w:tc>
          <w:tcPr>
            <w:tcW w:w="12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0,01 até 0,05</w:t>
            </w:r>
          </w:p>
        </w:tc>
        <w:tc>
          <w:tcPr>
            <w:tcW w:w="10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0,011</w:t>
            </w:r>
          </w:p>
        </w:tc>
      </w:tr>
      <w:tr>
        <w:trPr/>
        <w:tc>
          <w:tcPr>
            <w:tcW w:w="276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left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Phisitiku, M</w:t>
            </w:r>
            <w:r>
              <w:rPr>
                <w:rFonts w:eastAsia="Cambria" w:cs="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18"/>
                <w:szCs w:val="18"/>
                <w:u w:val="none"/>
                <w:lang w:val="pt-BR" w:eastAsia="en-US" w:bidi="ar-SA"/>
              </w:rPr>
              <w:t>é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dia (Desvio Padrão)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0,20 (0,15)</w:t>
            </w:r>
          </w:p>
        </w:tc>
        <w:tc>
          <w:tcPr>
            <w:tcW w:w="17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0,20 (0,15)</w:t>
            </w: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0,01</w:t>
            </w:r>
          </w:p>
        </w:tc>
        <w:tc>
          <w:tcPr>
            <w:tcW w:w="12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-0,01 até 0,02</w:t>
            </w:r>
          </w:p>
        </w:tc>
        <w:tc>
          <w:tcPr>
            <w:tcW w:w="10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0,597</w:t>
            </w:r>
          </w:p>
        </w:tc>
      </w:tr>
      <w:tr>
        <w:trPr/>
        <w:tc>
          <w:tcPr>
            <w:tcW w:w="276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left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Zwipp, M</w:t>
            </w:r>
            <w:r>
              <w:rPr>
                <w:rFonts w:eastAsia="Cambria" w:cs="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18"/>
                <w:szCs w:val="18"/>
                <w:u w:val="none"/>
                <w:lang w:val="pt-BR" w:eastAsia="en-US" w:bidi="ar-SA"/>
              </w:rPr>
              <w:t>é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dia (Desvio Padrão)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89 (8)</w:t>
            </w:r>
          </w:p>
        </w:tc>
        <w:tc>
          <w:tcPr>
            <w:tcW w:w="17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90 (8)</w:t>
            </w: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1,0</w:t>
            </w:r>
          </w:p>
        </w:tc>
        <w:tc>
          <w:tcPr>
            <w:tcW w:w="12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-0,11 até 2,1</w:t>
            </w:r>
          </w:p>
        </w:tc>
        <w:tc>
          <w:tcPr>
            <w:tcW w:w="10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0,076</w:t>
            </w:r>
          </w:p>
        </w:tc>
      </w:tr>
      <w:tr>
        <w:trPr/>
        <w:tc>
          <w:tcPr>
            <w:tcW w:w="9637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left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  <w:vertAlign w:val="superscript"/>
                <w:lang w:val="pt-BR" w:eastAsia="en-US" w:bidi="ar-SA"/>
              </w:rPr>
              <w:t>1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  <w:lang w:val="pt-BR" w:eastAsia="en-US" w:bidi="ar-SA"/>
              </w:rPr>
              <w:t>Teste t pareado</w:t>
              <w:br/>
            </w:r>
            <w:r>
              <w:rPr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  <w:vertAlign w:val="superscript"/>
                <w:lang w:val="pt-BR" w:eastAsia="en-US" w:bidi="ar-SA"/>
              </w:rPr>
              <w:t>2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  <w:lang w:val="pt-BR" w:eastAsia="en-US" w:bidi="ar-SA"/>
              </w:rPr>
              <w:t>IC = Intervalo de confiança</w:t>
            </w:r>
          </w:p>
        </w:tc>
      </w:tr>
    </w:tbl>
    <w:p>
      <w:pPr>
        <w:pStyle w:val="Heading3"/>
        <w:rPr>
          <w:lang w:val="pt-BR" w:eastAsia="en-US" w:bidi="ar-SA"/>
        </w:rPr>
      </w:pPr>
      <w:bookmarkStart w:id="31" w:name="__RefHeading___Toc4986_4040513560"/>
      <w:bookmarkEnd w:id="31"/>
      <w:r>
        <w:rPr>
          <w:lang w:val="pt-BR" w:eastAsia="en-US" w:bidi="ar-SA"/>
        </w:rPr>
        <w:t>Consistência inter-avaliador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A consistência inter-avaliador foi avaliada usando-se o ICC. Trocando-se os avaliadores, as mensurações de sindesmose apresentaram consistência pobre na amostra do estudo (Koo, 2016). A estimativa de ICC da Distância C foi 0,3 (de 0,16 a 0,49), da Rotação 1 ICC = 0,1 (de 0,01 a 0,23) e da Rotação 2 ICC = 0,2 (de 0,11 a 0,41).</w:t>
      </w:r>
    </w:p>
    <w:p>
      <w:pPr>
        <w:pStyle w:val="TableCaption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Tabela 4</w:t>
      </w:r>
      <w:r>
        <w:rPr>
          <w:lang w:val="pt-BR" w:eastAsia="en-US" w:bidi="ar-SA"/>
        </w:rPr>
        <w:t xml:space="preserve"> Correlação intra-classe (ICC) inter-observador dos parâmetros indicativos de sindemose.</w:t>
      </w:r>
    </w:p>
    <w:tbl>
      <w:tblPr>
        <w:tblStyle w:val="Table"/>
        <w:tblW w:w="7920" w:type="dxa"/>
        <w:jc w:val="left"/>
        <w:tblInd w:w="-5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2450"/>
        <w:gridCol w:w="1108"/>
        <w:gridCol w:w="2585"/>
        <w:gridCol w:w="1776"/>
      </w:tblGrid>
      <w:tr>
        <w:trPr/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Métrica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ICC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IC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Valor p</w:t>
            </w:r>
          </w:p>
        </w:tc>
      </w:tr>
      <w:tr>
        <w:trPr/>
        <w:tc>
          <w:tcPr>
            <w:tcW w:w="24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Distância C</w:t>
            </w:r>
          </w:p>
        </w:tc>
        <w:tc>
          <w:tcPr>
            <w:tcW w:w="11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0.29</w:t>
            </w:r>
          </w:p>
        </w:tc>
        <w:tc>
          <w:tcPr>
            <w:tcW w:w="25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[0.16, 0.49]</w:t>
            </w:r>
          </w:p>
        </w:tc>
        <w:tc>
          <w:tcPr>
            <w:tcW w:w="17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&lt;0.001</w:t>
            </w:r>
          </w:p>
        </w:tc>
      </w:tr>
      <w:tr>
        <w:trPr/>
        <w:tc>
          <w:tcPr>
            <w:tcW w:w="24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Rotação 1</w:t>
            </w:r>
          </w:p>
        </w:tc>
        <w:tc>
          <w:tcPr>
            <w:tcW w:w="11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0.09</w:t>
            </w:r>
          </w:p>
        </w:tc>
        <w:tc>
          <w:tcPr>
            <w:tcW w:w="25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[0.01, 0.23]</w:t>
            </w:r>
          </w:p>
        </w:tc>
        <w:tc>
          <w:tcPr>
            <w:tcW w:w="17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0.008</w:t>
            </w:r>
          </w:p>
        </w:tc>
      </w:tr>
      <w:tr>
        <w:trPr/>
        <w:tc>
          <w:tcPr>
            <w:tcW w:w="24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Rotação 2</w:t>
            </w:r>
          </w:p>
        </w:tc>
        <w:tc>
          <w:tcPr>
            <w:tcW w:w="11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0.23</w:t>
            </w:r>
          </w:p>
        </w:tc>
        <w:tc>
          <w:tcPr>
            <w:tcW w:w="25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[0.11, 0.41]</w:t>
            </w:r>
          </w:p>
        </w:tc>
        <w:tc>
          <w:tcPr>
            <w:tcW w:w="17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&lt;0.001</w:t>
            </w:r>
          </w:p>
        </w:tc>
      </w:tr>
      <w:tr>
        <w:trPr/>
        <w:tc>
          <w:tcPr>
            <w:tcW w:w="24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Phisitiku</w:t>
            </w:r>
          </w:p>
        </w:tc>
        <w:tc>
          <w:tcPr>
            <w:tcW w:w="11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0.31</w:t>
            </w:r>
          </w:p>
        </w:tc>
        <w:tc>
          <w:tcPr>
            <w:tcW w:w="25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[0.18, 0.50]</w:t>
            </w:r>
          </w:p>
        </w:tc>
        <w:tc>
          <w:tcPr>
            <w:tcW w:w="17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&lt;0.001</w:t>
            </w:r>
          </w:p>
        </w:tc>
      </w:tr>
      <w:tr>
        <w:trPr/>
        <w:tc>
          <w:tcPr>
            <w:tcW w:w="24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Zwipp</w:t>
            </w:r>
          </w:p>
        </w:tc>
        <w:tc>
          <w:tcPr>
            <w:tcW w:w="11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0.02</w:t>
            </w:r>
          </w:p>
        </w:tc>
        <w:tc>
          <w:tcPr>
            <w:tcW w:w="25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[-0.03, 0.13]</w:t>
            </w:r>
          </w:p>
        </w:tc>
        <w:tc>
          <w:tcPr>
            <w:tcW w:w="17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0.2</w:t>
            </w:r>
          </w:p>
        </w:tc>
      </w:tr>
    </w:tbl>
    <w:p>
      <w:pPr>
        <w:pStyle w:val="TextBody"/>
        <w:rPr>
          <w:lang w:val="pt-BR" w:eastAsia="en-US" w:bidi="ar-SA"/>
        </w:rPr>
      </w:pPr>
      <w:bookmarkStart w:id="32" w:name="resultados"/>
      <w:bookmarkStart w:id="33" w:name="X26dcc2b325ef7365cd557ac7f4ee79e0f8a7369"/>
      <w:r>
        <w:rPr>
          <w:lang w:val="pt-BR" w:eastAsia="en-US" w:bidi="ar-SA"/>
        </w:rPr>
        <w:t>Nas mensurações de Phisitiku foi observada ICC pobre a moderada (ICC = 0,3, de 0,18 a 0,50). Não há evidências de que as medidas de Zwipp tenham consistência mensurável.</w:t>
      </w:r>
      <w:bookmarkEnd w:id="32"/>
      <w:bookmarkEnd w:id="33"/>
    </w:p>
    <w:p>
      <w:pPr>
        <w:pStyle w:val="Heading1"/>
        <w:rPr>
          <w:lang w:val="pt-BR" w:eastAsia="en-US" w:bidi="ar-SA"/>
        </w:rPr>
      </w:pPr>
      <w:bookmarkStart w:id="34" w:name="__RefHeading___Toc4988_4040513560"/>
      <w:bookmarkEnd w:id="34"/>
      <w:r>
        <w:rPr>
          <w:lang w:val="pt-BR" w:eastAsia="en-US" w:bidi="ar-SA"/>
        </w:rPr>
        <w:t>Observações e limitações</w:t>
      </w:r>
    </w:p>
    <w:p>
      <w:pPr>
        <w:pStyle w:val="FirstParagraph"/>
        <w:rPr>
          <w:lang w:val="pt-BR" w:eastAsia="en-US" w:bidi="ar-SA"/>
        </w:rPr>
      </w:pPr>
      <w:bookmarkStart w:id="35" w:name="observações-e-limitações"/>
      <w:r>
        <w:rPr>
          <w:lang w:val="pt-BR" w:eastAsia="en-US" w:bidi="ar-SA"/>
        </w:rPr>
        <w:t>N/A</w:t>
      </w:r>
      <w:bookmarkEnd w:id="35"/>
    </w:p>
    <w:p>
      <w:pPr>
        <w:pStyle w:val="Heading1"/>
        <w:rPr>
          <w:lang w:val="pt-BR" w:eastAsia="en-US" w:bidi="ar-SA"/>
        </w:rPr>
      </w:pPr>
      <w:bookmarkStart w:id="36" w:name="__RefHeading___Toc4990_4040513560"/>
      <w:bookmarkEnd w:id="36"/>
      <w:r>
        <w:rPr>
          <w:lang w:val="pt-BR" w:eastAsia="en-US" w:bidi="ar-SA"/>
        </w:rPr>
        <w:t>Conclusões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As mensurações avaliadas apresentaram baixa consistência intra-avaliador ente as posições plantar e dorsal. Não houve consistência nas mensurações de rotação 1 (diferença média 0,09), rotação 2 (diferença média -0,05) e distância C (diferença média 0,03). As mensurações de Phisitiku e Zwipp não foram significativamente diferentes.</w:t>
      </w:r>
    </w:p>
    <w:p>
      <w:pPr>
        <w:pStyle w:val="TextBody"/>
        <w:rPr>
          <w:lang w:val="pt-BR" w:eastAsia="en-US" w:bidi="ar-SA"/>
        </w:rPr>
      </w:pPr>
      <w:bookmarkStart w:id="37" w:name="conclusões"/>
      <w:r>
        <w:rPr>
          <w:lang w:val="pt-BR" w:eastAsia="en-US" w:bidi="ar-SA"/>
        </w:rPr>
        <w:t>A consistência inter-avaliador foi pobre nas mensurações de rotação 1 (ICC 0,09), rotação 2 (ICC 0,23) e Distância C (ICC 0,29). As mensurações de Phisitiku e Zwipp também apresentaram consistência pobre (ICC 0,31 e 0,02, respectivamente).</w:t>
      </w:r>
      <w:bookmarkEnd w:id="37"/>
    </w:p>
    <w:p>
      <w:pPr>
        <w:pStyle w:val="Heading1"/>
        <w:rPr>
          <w:lang w:val="pt-BR" w:eastAsia="en-US" w:bidi="ar-SA"/>
        </w:rPr>
      </w:pPr>
      <w:bookmarkStart w:id="38" w:name="__RefHeading___Toc4992_4040513560"/>
      <w:bookmarkEnd w:id="38"/>
      <w:r>
        <w:rPr>
          <w:lang w:val="pt-BR" w:eastAsia="en-US" w:bidi="ar-SA"/>
        </w:rPr>
        <w:t>Referências</w:t>
      </w:r>
    </w:p>
    <w:p>
      <w:pPr>
        <w:pStyle w:val="Compact"/>
        <w:numPr>
          <w:ilvl w:val="0"/>
          <w:numId w:val="17"/>
        </w:numPr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SAP-2022-012-IC-v01</w:t>
      </w:r>
      <w:r>
        <w:rPr>
          <w:lang w:val="pt-BR" w:eastAsia="en-US" w:bidi="ar-SA"/>
        </w:rPr>
        <w:t xml:space="preserve"> – Plano Analítico para Consistência de mensurações radiológicas para diagnóstico de sindesmose</w:t>
      </w:r>
    </w:p>
    <w:p>
      <w:pPr>
        <w:pStyle w:val="Compact"/>
        <w:numPr>
          <w:ilvl w:val="0"/>
          <w:numId w:val="18"/>
        </w:numPr>
        <w:rPr>
          <w:lang w:val="pt-BR" w:eastAsia="en-US" w:bidi="ar-SA"/>
        </w:rPr>
      </w:pPr>
      <w:bookmarkStart w:id="39" w:name="referências"/>
      <w:r>
        <w:rPr>
          <w:lang w:val="pt-BR" w:eastAsia="en-US" w:bidi="ar-SA"/>
        </w:rPr>
        <w:t>Koo, T. K., &amp; Li, M. Y. (2016). A guideline of selecting and reporting intraclass correlation coefficients for reliability research. Journal of chiropractic medicine, 15(2), 155-163.</w:t>
      </w:r>
      <w:bookmarkEnd w:id="39"/>
    </w:p>
    <w:p>
      <w:pPr>
        <w:pStyle w:val="Heading1"/>
        <w:keepLines/>
        <w:widowControl/>
        <w:numPr>
          <w:ilvl w:val="0"/>
          <w:numId w:val="0"/>
        </w:numPr>
        <w:suppressAutoHyphens w:val="true"/>
        <w:ind w:left="0" w:hanging="0"/>
        <w:jc w:val="left"/>
        <w:rPr>
          <w:lang w:val="pt-BR" w:eastAsia="en-US" w:bidi="ar-SA"/>
        </w:rPr>
      </w:pPr>
      <w:r>
        <w:rPr>
          <w:lang w:val="pt-BR" w:eastAsia="en-US" w:bidi="ar-SA"/>
        </w:rPr>
      </w:r>
      <w:r>
        <w:br w:type="page"/>
      </w:r>
    </w:p>
    <w:p>
      <w:pPr>
        <w:pStyle w:val="Heading1"/>
        <w:rPr>
          <w:lang w:val="pt-BR" w:eastAsia="en-US" w:bidi="ar-SA"/>
        </w:rPr>
      </w:pPr>
      <w:bookmarkStart w:id="40" w:name="__RefHeading___Toc4994_4040513560"/>
      <w:bookmarkEnd w:id="40"/>
      <w:r>
        <w:rPr>
          <w:lang w:val="pt-BR" w:eastAsia="en-US" w:bidi="ar-SA"/>
        </w:rPr>
        <w:t>Apêndice</w:t>
      </w:r>
    </w:p>
    <w:p>
      <w:pPr>
        <w:pStyle w:val="Heading2"/>
        <w:rPr>
          <w:lang w:val="pt-BR" w:eastAsia="en-US" w:bidi="ar-SA"/>
        </w:rPr>
      </w:pPr>
      <w:bookmarkStart w:id="41" w:name="__RefHeading___Toc4996_4040513560"/>
      <w:bookmarkEnd w:id="41"/>
      <w:r>
        <w:rPr>
          <w:lang w:val="pt-BR" w:eastAsia="en-US" w:bidi="ar-SA"/>
        </w:rPr>
        <w:t>Análise exploratória de dados</w:t>
      </w:r>
    </w:p>
    <w:p>
      <w:pPr>
        <w:pStyle w:val="FirstParagraph"/>
        <w:rPr>
          <w:lang w:val="pt-BR" w:eastAsia="en-US" w:bidi="ar-SA"/>
        </w:rPr>
      </w:pPr>
      <w:bookmarkStart w:id="42" w:name="análise-exploratória-de-dados"/>
      <w:r>
        <w:rPr>
          <w:lang w:val="pt-BR" w:eastAsia="en-US" w:bidi="ar-SA"/>
        </w:rPr>
        <w:t>N/A</w:t>
      </w:r>
      <w:bookmarkEnd w:id="42"/>
    </w:p>
    <w:p>
      <w:pPr>
        <w:pStyle w:val="Heading2"/>
        <w:rPr>
          <w:lang w:val="pt-BR" w:eastAsia="en-US" w:bidi="ar-SA"/>
        </w:rPr>
      </w:pPr>
      <w:bookmarkStart w:id="43" w:name="__RefHeading___Toc4998_4040513560"/>
      <w:bookmarkEnd w:id="43"/>
      <w:r>
        <w:rPr>
          <w:lang w:val="pt-BR" w:eastAsia="en-US" w:bidi="ar-SA"/>
        </w:rPr>
        <w:t>Disponibilidade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Todos os documentos gerados nessa consultoria foram incluídos no portfólio do consultor.</w:t>
      </w:r>
    </w:p>
    <w:p>
      <w:pPr>
        <w:pStyle w:val="TextBody"/>
        <w:rPr>
          <w:lang w:val="pt-BR" w:eastAsia="en-US" w:bidi="ar-SA"/>
        </w:rPr>
      </w:pPr>
      <w:r>
        <w:rPr>
          <w:lang w:val="pt-BR" w:eastAsia="en-US" w:bidi="ar-SA"/>
        </w:rPr>
        <w:t>O portfólio pode ser visto em:</w:t>
      </w:r>
    </w:p>
    <w:p>
      <w:pPr>
        <w:pStyle w:val="TextBody"/>
        <w:rPr/>
      </w:pPr>
      <w:hyperlink r:id="rId3">
        <w:bookmarkStart w:id="44" w:name="disponibilidade"/>
        <w:r>
          <w:rPr>
            <w:rStyle w:val="InternetLink"/>
            <w:lang w:val="pt-BR" w:eastAsia="en-US" w:bidi="ar-SA"/>
          </w:rPr>
          <w:t>https://philsf-biostat.github.io/SAR-2022-012-IC/</w:t>
        </w:r>
      </w:hyperlink>
      <w:bookmarkEnd w:id="44"/>
    </w:p>
    <w:p>
      <w:pPr>
        <w:pStyle w:val="Heading2"/>
        <w:rPr>
          <w:lang w:val="pt-BR" w:eastAsia="en-US" w:bidi="ar-SA"/>
        </w:rPr>
      </w:pPr>
      <w:bookmarkStart w:id="45" w:name="__RefHeading___Toc5000_4040513560"/>
      <w:bookmarkEnd w:id="45"/>
      <w:r>
        <w:rPr>
          <w:lang w:val="pt-BR" w:eastAsia="en-US" w:bidi="ar-SA"/>
        </w:rPr>
        <w:t>Dados utilizados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A tabela A1 mostra a estrutura da tabela de dados analíticos.</w:t>
      </w:r>
    </w:p>
    <w:p>
      <w:pPr>
        <w:pStyle w:val="TableCaption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Tabela A1</w:t>
      </w:r>
      <w:r>
        <w:rPr>
          <w:lang w:val="pt-BR" w:eastAsia="en-US" w:bidi="ar-SA"/>
        </w:rPr>
        <w:t xml:space="preserve"> Estrutura da tabela de dados analíticos</w:t>
      </w:r>
    </w:p>
    <w:tbl>
      <w:tblPr>
        <w:tblStyle w:val="Table"/>
        <w:tblW w:w="5000" w:type="pct"/>
        <w:jc w:val="left"/>
        <w:tblInd w:w="-5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750"/>
        <w:gridCol w:w="1659"/>
        <w:gridCol w:w="1355"/>
        <w:gridCol w:w="452"/>
        <w:gridCol w:w="451"/>
        <w:gridCol w:w="452"/>
        <w:gridCol w:w="903"/>
        <w:gridCol w:w="904"/>
        <w:gridCol w:w="1657"/>
        <w:gridCol w:w="1054"/>
      </w:tblGrid>
      <w:tr>
        <w:trPr/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  <w:t>avaliador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  <w:t>posicao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  <w:t>a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  <w:t>b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  <w:t>c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  <w:t>rot1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  <w:t>rot2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  <w:t>phisitiku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  <w:t>zwipp</w:t>
            </w:r>
          </w:p>
        </w:tc>
      </w:tr>
      <w:tr>
        <w:trPr/>
        <w:tc>
          <w:tcPr>
            <w:tcW w:w="7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  <w:t>1</w:t>
            </w:r>
          </w:p>
        </w:tc>
        <w:tc>
          <w:tcPr>
            <w:tcW w:w="16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135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4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4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4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9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9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16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10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7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  <w:t>2</w:t>
            </w:r>
          </w:p>
        </w:tc>
        <w:tc>
          <w:tcPr>
            <w:tcW w:w="16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135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4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4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4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9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9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16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10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7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  <w:t>3</w:t>
            </w:r>
          </w:p>
        </w:tc>
        <w:tc>
          <w:tcPr>
            <w:tcW w:w="16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135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4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4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4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9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9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16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10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7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  <w:t>…</w:t>
            </w:r>
          </w:p>
        </w:tc>
        <w:tc>
          <w:tcPr>
            <w:tcW w:w="16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135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4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4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4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9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9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16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10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7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  <w:t>N</w:t>
            </w:r>
          </w:p>
        </w:tc>
        <w:tc>
          <w:tcPr>
            <w:tcW w:w="16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135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4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4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4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9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9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16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10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</w:tr>
    </w:tbl>
    <w:p>
      <w:pPr>
        <w:pStyle w:val="TextBody"/>
        <w:spacing w:before="180" w:after="180"/>
        <w:rPr>
          <w:lang w:val="pt-BR" w:eastAsia="en-US" w:bidi="ar-SA"/>
        </w:rPr>
      </w:pPr>
      <w:bookmarkStart w:id="46" w:name="apêndice"/>
      <w:bookmarkStart w:id="47" w:name="dados-utilizados"/>
      <w:r>
        <w:rPr>
          <w:lang w:val="pt-BR" w:eastAsia="en-US" w:bidi="ar-SA"/>
        </w:rPr>
        <w:t>Os dados utilizados neste relatório não podem ser publicados online por questões de sigilo.</w:t>
      </w:r>
      <w:bookmarkEnd w:id="46"/>
      <w:bookmarkEnd w:id="47"/>
    </w:p>
    <w:sectPr>
      <w:headerReference w:type="default" r:id="rId4"/>
      <w:footerReference w:type="default" r:id="rId5"/>
      <w:type w:val="nextPage"/>
      <w:pgSz w:w="11906" w:h="16838"/>
      <w:pgMar w:left="1134" w:right="1134" w:gutter="0" w:header="567" w:top="1758" w:footer="567" w:bottom="175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Ubuntu">
    <w:charset w:val="01"/>
    <w:family w:val="auto"/>
    <w:pitch w:val="default"/>
  </w:font>
  <w:font w:name="Consolas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Ubuntu Mono">
    <w:charset w:val="01"/>
    <w:family w:val="auto"/>
    <w:pitch w:val="default"/>
  </w:font>
  <w:font w:name="Arial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6005" cy="34925"/>
              <wp:effectExtent l="0" t="0" r="0" b="0"/>
              <wp:docPr id="5" name="Shape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840" cy="34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4" path="m0,0l-2147483645,0l-2147483645,-2147483646l0,-2147483646xe" fillcolor="white" stroked="t" o:allowincell="f" style="position:absolute;margin-left:0pt;margin-top:-2.8pt;width:483.1pt;height:2.7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  <w:tbl>
    <w:tblPr>
      <w:tblW w:w="9621" w:type="dxa"/>
      <w:jc w:val="center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4540"/>
      <w:gridCol w:w="198"/>
      <w:gridCol w:w="1633"/>
      <w:gridCol w:w="194"/>
      <w:gridCol w:w="974"/>
      <w:gridCol w:w="202"/>
      <w:gridCol w:w="637"/>
      <w:gridCol w:w="183"/>
      <w:gridCol w:w="1059"/>
    </w:tblGrid>
    <w:tr>
      <w:trPr/>
      <w:tc>
        <w:tcPr>
          <w:tcW w:w="4540" w:type="dxa"/>
          <w:tcBorders/>
          <w:vAlign w:val="center"/>
        </w:tcPr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eastAsia="Cambria" w:cs=""/>
              <w:b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  <w:t>FF Consultoria em Bioestatística e Epidemiologia</w:t>
          </w:r>
        </w:p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eastAsia="Cambria" w:cs="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  <w:t>CNPJ: 42.154.074/0001-22</w:t>
          </w:r>
        </w:p>
        <w:p>
          <w:pPr>
            <w:pStyle w:val="Textoprformatado"/>
            <w:widowControl w:val="false"/>
            <w:jc w:val="center"/>
            <w:rPr/>
          </w:pPr>
          <w:hyperlink r:id="rId1">
            <w:r>
              <w:rPr>
                <w:rStyle w:val="LinkdaInternet"/>
                <w:color w:val="345A8A"/>
                <w:lang w:val="pt-BR" w:eastAsia="en-US" w:bidi="ar-SA"/>
              </w:rPr>
              <w:t>https://philsf-biostat.github.io/</w:t>
            </w:r>
          </w:hyperlink>
        </w:p>
      </w:tc>
      <w:tc>
        <w:tcPr>
          <w:tcW w:w="19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  <w:tc>
        <w:tcPr>
          <w:tcW w:w="1633" w:type="dxa"/>
          <w:tcBorders/>
          <w:vAlign w:val="center"/>
        </w:tcPr>
        <w:p>
          <w:pPr>
            <w:pStyle w:val="Textoprformatado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  <w:t>SA</w:t>
          </w:r>
          <w:r>
            <w:rPr>
              <w:rFonts w:eastAsia="Liberation Mono" w:cs="Liberation Mono"/>
              <w:b/>
              <w:bCs/>
              <w:color w:val="auto"/>
              <w:kern w:val="0"/>
              <w:sz w:val="24"/>
              <w:szCs w:val="20"/>
              <w:lang w:val="pt-BR" w:eastAsia="en-US" w:bidi="ar-SA"/>
            </w:rPr>
            <w:t>R</w:t>
          </w:r>
        </w:p>
      </w:tc>
      <w:tc>
        <w:tcPr>
          <w:tcW w:w="19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r>
        </w:p>
      </w:tc>
      <w:tc>
        <w:tcPr>
          <w:tcW w:w="97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Versão</w:t>
          </w:r>
        </w:p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 w:val="false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t>1</w:t>
          </w:r>
        </w:p>
      </w:tc>
      <w:tc>
        <w:tcPr>
          <w:tcW w:w="202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  <w:tc>
        <w:tcPr>
          <w:tcW w:w="637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Ano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/>
            <w:fldChar w:fldCharType="begin"/>
          </w:r>
          <w:r>
            <w:rPr/>
            <w:instrText xml:space="preserve"> DATE \@"yyyy" </w:instrText>
          </w:r>
          <w:r>
            <w:rPr/>
            <w:fldChar w:fldCharType="separate"/>
          </w:r>
          <w:r>
            <w:rPr/>
            <w:t>2022</w:t>
          </w:r>
          <w:r>
            <w:rPr/>
            <w:fldChar w:fldCharType="end"/>
          </w:r>
        </w:p>
      </w:tc>
      <w:tc>
        <w:tcPr>
          <w:tcW w:w="18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</w:r>
        </w:p>
      </w:tc>
      <w:tc>
        <w:tcPr>
          <w:tcW w:w="1059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Página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 xml:space="preserve"> PAGE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9</w:t>
          </w:r>
          <w:r>
            <w:rPr>
              <w:lang w:val="pt-BR" w:eastAsia="en-US" w:bidi="ar-SA"/>
            </w:rPr>
            <w:fldChar w:fldCharType="end"/>
          </w:r>
          <w:r>
            <w:rPr>
              <w:lang w:val="pt-BR" w:eastAsia="en-US" w:bidi="ar-SA"/>
            </w:rPr>
            <w:t xml:space="preserve"> </w:t>
          </w:r>
          <w:r>
            <w:rPr>
              <w:lang w:val="pt-BR" w:eastAsia="en-US" w:bidi="ar-SA"/>
            </w:rPr>
            <w:t xml:space="preserve">/ </w:t>
          </w: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 xml:space="preserve"> NUMPAGES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9</w:t>
          </w:r>
          <w:r>
            <w:rPr>
              <w:lang w:val="pt-BR" w:eastAsia="en-US" w:bidi="ar-SA"/>
            </w:rPr>
            <w:fldChar w:fldCharType="end"/>
          </w:r>
        </w:p>
      </w:tc>
    </w:tr>
  </w:tbl>
  <w:p>
    <w:pPr>
      <w:pStyle w:val="Normal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638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638"/>
    </w:tblGrid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Consultoria em Estatística Médica e Epidemiologia Clínica</w:t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b/>
              <w:b/>
              <w:bCs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 xml:space="preserve">Relatório de Análise Estatística </w:t>
          </w:r>
          <w:r>
            <w:rPr>
              <w:b/>
              <w:bCs/>
              <w:lang w:val="pt-BR" w:eastAsia="en-US" w:bidi="ar-SA"/>
            </w:rPr>
            <w:t>(SA</w:t>
          </w: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R</w:t>
          </w:r>
          <w:r>
            <w:rPr>
              <w:b/>
              <w:bCs/>
              <w:lang w:val="pt-BR" w:eastAsia="en-US" w:bidi="ar-SA"/>
            </w:rPr>
            <w:t>)</w:t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spacing w:before="0" w:after="200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6005" cy="34925"/>
              <wp:effectExtent l="0" t="0" r="0" b="0"/>
              <wp:docPr id="4" name="Shap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840" cy="34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3" path="m0,0l-2147483645,0l-2147483645,-2147483646l0,-2147483646xe" fillcolor="white" stroked="t" o:allowincell="f" style="position:absolute;margin-left:0pt;margin-top:-2.8pt;width:483.1pt;height:2.7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 %1 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Heading2"/>
      <w:numFmt w:val="decimal"/>
      <w:lvlText w:val=" %1.%2 "/>
      <w:lvlJc w:val="left"/>
      <w:pPr>
        <w:tabs>
          <w:tab w:val="num" w:pos="0"/>
        </w:tabs>
        <w:ind w:left="0" w:hanging="0"/>
      </w:pPr>
      <w:rPr/>
    </w:lvl>
    <w:lvl w:ilvl="2">
      <w:start w:val="1"/>
      <w:pStyle w:val="Heading3"/>
      <w:numFmt w:val="decimal"/>
      <w:lvlText w:val=" %1.%2.%3 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Heading4"/>
      <w:numFmt w:val="decimal"/>
      <w:lvlText w:val=" %1.%2.%3.%4 "/>
      <w:lvlJc w:val="left"/>
      <w:pPr>
        <w:tabs>
          <w:tab w:val="num" w:pos="0"/>
        </w:tabs>
        <w:ind w:left="0" w:hanging="0"/>
      </w:pPr>
      <w:rPr/>
    </w:lvl>
    <w:lvl w:ilvl="4">
      <w:start w:val="1"/>
      <w:pStyle w:val="Heading5"/>
      <w:numFmt w:val="decimal"/>
      <w:lvlText w:val=" %1.%2.%3.%4.%5 "/>
      <w:lvlJc w:val="left"/>
      <w:pPr>
        <w:tabs>
          <w:tab w:val="num" w:pos="0"/>
        </w:tabs>
        <w:ind w:left="0" w:hanging="0"/>
      </w:pPr>
      <w:rPr/>
    </w:lvl>
    <w:lvl w:ilvl="5">
      <w:start w:val="1"/>
      <w:pStyle w:val="Heading6"/>
      <w:numFmt w:val="decimal"/>
      <w:lvlText w:val=" %1.%2.%3.%4.%5.%6 "/>
      <w:lvlJc w:val="left"/>
      <w:pPr>
        <w:tabs>
          <w:tab w:val="num" w:pos="0"/>
        </w:tabs>
        <w:ind w:left="0" w:hanging="0"/>
      </w:pPr>
      <w:rPr/>
    </w:lvl>
    <w:lvl w:ilvl="6">
      <w:start w:val="1"/>
      <w:pStyle w:val="Heading7"/>
      <w:numFmt w:val="decimal"/>
      <w:lvlText w:val=" %1.%2.%3.%4.%5.%6.%7 "/>
      <w:lvlJc w:val="left"/>
      <w:pPr>
        <w:tabs>
          <w:tab w:val="num" w:pos="0"/>
        </w:tabs>
        <w:ind w:left="0" w:hanging="0"/>
      </w:pPr>
      <w:rPr/>
    </w:lvl>
    <w:lvl w:ilvl="7">
      <w:start w:val="1"/>
      <w:pStyle w:val="Heading8"/>
      <w:numFmt w:val="decimal"/>
      <w:lvlText w:val=" %1.%2.%3.%4.%5.%6.%7.%8 "/>
      <w:lvlJc w:val="left"/>
      <w:pPr>
        <w:tabs>
          <w:tab w:val="num" w:pos="0"/>
        </w:tabs>
        <w:ind w:left="0" w:hanging="0"/>
      </w:pPr>
      <w:rPr/>
    </w:lvl>
    <w:lvl w:ilvl="8">
      <w:start w:val="1"/>
      <w:pStyle w:val="Heading9"/>
      <w:numFmt w:val="decimal"/>
      <w:lvlText w:val=" %1.%2.%3.%4.%5.%6.%7.%8.%9 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</w:numbering>
</file>

<file path=word/settings.xml><?xml version="1.0" encoding="utf-8"?>
<w:settings xmlns:w="http://schemas.openxmlformats.org/wordprocessingml/2006/main">
  <w:zoom w:percent="75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Ubuntu" w:hAnsi="Ubuntu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Ubuntu" w:hAnsi="Ubuntu" w:eastAsia="" w:cs="" w:cstheme="majorBidi" w:eastAsiaTheme="majorEastAsia"/>
      <w:b/>
      <w:bCs/>
      <w:caps/>
      <w:color w:val="000000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Ubuntu" w:hAnsi="Ubuntu" w:eastAsia="" w:cs="" w:cstheme="majorBidi" w:eastAsiaTheme="majorEastAsia"/>
      <w:b/>
      <w:bCs/>
      <w:color w:val="000000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Ubuntu" w:hAnsi="Ubuntu" w:eastAsia="" w:cs="" w:cstheme="majorBidi" w:eastAsiaTheme="majorEastAsia"/>
      <w:b/>
      <w:bCs/>
      <w:color w:val="000000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Ubuntu" w:hAnsi="Ubuntu" w:eastAsia="" w:cs="" w:cstheme="majorBidi" w:eastAsiaTheme="majorEastAsia"/>
      <w:bCs/>
      <w:i/>
      <w:color w:val="000000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Ubuntu" w:hAnsi="Ubuntu" w:eastAsia="" w:cs="" w:cstheme="majorBidi" w:eastAsiaTheme="majorEastAsia"/>
      <w:iCs/>
      <w:color w:val="000000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Ncoradanotaderodap">
    <w:name w:val="Âncora da nota de rodapé"/>
    <w:qFormat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nkdaInternet">
    <w:name w:val="Link da Internet"/>
    <w:basedOn w:val="BodyTextChar"/>
    <w:qFormat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Vnculodendice">
    <w:name w:val="Vínculo de índice"/>
    <w:qFormat/>
    <w:rPr/>
  </w:style>
  <w:style w:type="character" w:styleId="Numeraodelinhas">
    <w:name w:val="Numeração de linha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Ubuntu" w:hAnsi="Ubuntu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>
      <w:rFonts w:ascii="Ubuntu" w:hAnsi="Ubuntu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ascii="Ubuntu" w:hAnsi="Ubuntu" w:cs="Lohit Devanagari"/>
      <w:lang w:val="zxx" w:eastAsia="zxx" w:bidi="zxx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0" w:after="0"/>
    </w:pPr>
    <w:rPr>
      <w:rFonts w:ascii="Ubuntu" w:hAnsi="Ubuntu"/>
    </w:rPr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Ubuntu" w:hAnsi="Ubuntu" w:eastAsia="" w:cs="" w:cstheme="majorBidi" w:eastAsiaTheme="majorEastAsia"/>
      <w:b/>
      <w:bCs/>
      <w:color w:val="000000" w:themeShade="b5"/>
      <w:sz w:val="32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rFonts w:ascii="Ubuntu" w:hAnsi="Ubuntu"/>
      <w:color w:val="000000"/>
      <w:sz w:val="2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IndexHeading">
    <w:name w:val="Index Heading"/>
    <w:basedOn w:val="Ttulo"/>
    <w:pPr>
      <w:suppressLineNumbers/>
      <w:ind w:left="0" w:hanging="0"/>
      <w:jc w:val="center"/>
    </w:pPr>
    <w:rPr>
      <w:rFonts w:ascii="Ubuntu" w:hAnsi="Ubuntu"/>
      <w:b/>
      <w:bCs/>
      <w:caps/>
      <w:sz w:val="32"/>
      <w:szCs w:val="32"/>
    </w:rPr>
  </w:style>
  <w:style w:type="paragraph" w:styleId="ContentsHeading">
    <w:name w:val="TOC Heading"/>
    <w:basedOn w:val="Heading1"/>
    <w:next w:val="TextBody"/>
    <w:uiPriority w:val="39"/>
    <w:unhideWhenUsed/>
    <w:qFormat/>
    <w:pPr>
      <w:numPr>
        <w:ilvl w:val="0"/>
        <w:numId w:val="0"/>
      </w:numPr>
      <w:spacing w:lineRule="auto" w:line="259" w:before="240" w:after="0"/>
      <w:jc w:val="center"/>
      <w:outlineLvl w:val="9"/>
    </w:pPr>
    <w:rPr>
      <w:rFonts w:ascii="Ubuntu" w:hAnsi="Ubuntu" w:eastAsia="" w:cs="" w:cstheme="majorBidi" w:eastAsiaTheme="majorEastAsia"/>
      <w:b/>
      <w:bCs w:val="false"/>
      <w:color w:val="000000" w:themeShade="bf"/>
      <w:sz w:val="32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Ubuntu Mono" w:hAnsi="Ubuntu Mono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Ndice"/>
    <w:pPr>
      <w:tabs>
        <w:tab w:val="clear" w:pos="720"/>
        <w:tab w:val="right" w:pos="9360" w:leader="dot"/>
      </w:tabs>
      <w:spacing w:before="0" w:after="57"/>
      <w:ind w:left="0" w:hanging="0"/>
    </w:pPr>
    <w:rPr>
      <w:rFonts w:ascii="Ubuntu" w:hAnsi="Ubuntu"/>
      <w:caps/>
      <w:sz w:val="20"/>
    </w:rPr>
  </w:style>
  <w:style w:type="paragraph" w:styleId="Contents2">
    <w:name w:val="TOC 2"/>
    <w:basedOn w:val="Ndice"/>
    <w:pPr>
      <w:tabs>
        <w:tab w:val="clear" w:pos="720"/>
        <w:tab w:val="right" w:pos="9077" w:leader="dot"/>
      </w:tabs>
      <w:spacing w:before="0" w:after="57"/>
      <w:ind w:left="283" w:hanging="0"/>
    </w:pPr>
    <w:rPr>
      <w:rFonts w:ascii="Ubuntu" w:hAnsi="Ubuntu"/>
      <w:sz w:val="20"/>
    </w:rPr>
  </w:style>
  <w:style w:type="paragraph" w:styleId="Contents3">
    <w:name w:val="TOC 3"/>
    <w:basedOn w:val="Ndice"/>
    <w:pPr>
      <w:tabs>
        <w:tab w:val="clear" w:pos="720"/>
        <w:tab w:val="right" w:pos="8794" w:leader="dot"/>
      </w:tabs>
      <w:spacing w:before="0" w:after="57"/>
      <w:ind w:left="566" w:hanging="0"/>
    </w:pPr>
    <w:rPr>
      <w:rFonts w:ascii="Ubuntu" w:hAnsi="Ubuntu"/>
      <w:sz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  <w:spacing w:lineRule="auto" w:line="276" w:before="0" w:after="0"/>
      <w:jc w:val="center"/>
    </w:pPr>
    <w:rPr>
      <w:rFonts w:ascii="Ubuntu" w:hAnsi="Ubuntu"/>
      <w:sz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  <w:spacing w:before="0" w:after="0"/>
      <w:jc w:val="center"/>
    </w:pPr>
    <w:rPr>
      <w:rFonts w:ascii="Ubuntu" w:hAnsi="Ubuntu"/>
      <w:b w:val="false"/>
      <w:bCs/>
      <w:i w:val="false"/>
      <w:iCs w:val="false"/>
      <w:strike w:val="false"/>
      <w:dstrike w:val="false"/>
      <w:outline w:val="false"/>
      <w:shadow w:val="false"/>
      <w:color w:val="000000"/>
      <w:sz w:val="22"/>
      <w:szCs w:val="22"/>
      <w:u w:val="none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">
    <w:name w:val="Header"/>
    <w:basedOn w:val="CabealhoeRodap"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Ubuntu Mono" w:hAnsi="Ubuntu Mono" w:eastAsia="Liberation Mono" w:cs="Liberation Mono"/>
      <w:sz w:val="24"/>
      <w:szCs w:val="20"/>
    </w:rPr>
  </w:style>
  <w:style w:type="paragraph" w:styleId="Sumrio10">
    <w:name w:val="Sumário 10"/>
    <w:basedOn w:val="Ndice"/>
    <w:qFormat/>
    <w:pPr>
      <w:tabs>
        <w:tab w:val="clear" w:pos="720"/>
        <w:tab w:val="right" w:pos="6813" w:leader="dot"/>
      </w:tabs>
      <w:ind w:left="2547" w:hanging="0"/>
    </w:pPr>
    <w:rPr>
      <w:rFonts w:ascii="Ubuntu" w:hAnsi="Ubuntu"/>
      <w:sz w:val="20"/>
    </w:rPr>
  </w:style>
  <w:style w:type="paragraph" w:styleId="Contents9">
    <w:name w:val="TOC 9"/>
    <w:basedOn w:val="Ndice"/>
    <w:pPr>
      <w:tabs>
        <w:tab w:val="clear" w:pos="720"/>
        <w:tab w:val="right" w:pos="7096" w:leader="dot"/>
      </w:tabs>
      <w:ind w:left="2264" w:hanging="0"/>
    </w:pPr>
    <w:rPr>
      <w:rFonts w:ascii="Ubuntu" w:hAnsi="Ubuntu"/>
      <w:sz w:val="20"/>
    </w:rPr>
  </w:style>
  <w:style w:type="paragraph" w:styleId="Contents8">
    <w:name w:val="TOC 8"/>
    <w:basedOn w:val="Ndice"/>
    <w:pPr>
      <w:tabs>
        <w:tab w:val="clear" w:pos="720"/>
        <w:tab w:val="right" w:pos="7379" w:leader="dot"/>
      </w:tabs>
      <w:ind w:left="1981" w:hanging="0"/>
    </w:pPr>
    <w:rPr>
      <w:rFonts w:ascii="Ubuntu" w:hAnsi="Ubuntu"/>
      <w:sz w:val="20"/>
    </w:rPr>
  </w:style>
  <w:style w:type="paragraph" w:styleId="Contents7">
    <w:name w:val="TOC 7"/>
    <w:basedOn w:val="Ndice"/>
    <w:pPr>
      <w:tabs>
        <w:tab w:val="clear" w:pos="720"/>
        <w:tab w:val="right" w:pos="7662" w:leader="dot"/>
      </w:tabs>
      <w:ind w:left="1698" w:hanging="0"/>
    </w:pPr>
    <w:rPr>
      <w:rFonts w:ascii="Ubuntu" w:hAnsi="Ubuntu"/>
      <w:sz w:val="20"/>
    </w:rPr>
  </w:style>
  <w:style w:type="paragraph" w:styleId="Contents6">
    <w:name w:val="TOC 6"/>
    <w:basedOn w:val="Ndice"/>
    <w:pPr>
      <w:tabs>
        <w:tab w:val="clear" w:pos="720"/>
        <w:tab w:val="right" w:pos="7945" w:leader="dot"/>
      </w:tabs>
      <w:ind w:left="1415" w:hanging="0"/>
    </w:pPr>
    <w:rPr>
      <w:rFonts w:ascii="Ubuntu" w:hAnsi="Ubuntu"/>
      <w:sz w:val="20"/>
    </w:rPr>
  </w:style>
  <w:style w:type="paragraph" w:styleId="Contents5">
    <w:name w:val="TOC 5"/>
    <w:basedOn w:val="Ndice"/>
    <w:pPr>
      <w:tabs>
        <w:tab w:val="clear" w:pos="720"/>
        <w:tab w:val="right" w:pos="8228" w:leader="dot"/>
      </w:tabs>
      <w:ind w:left="1132" w:hanging="0"/>
    </w:pPr>
    <w:rPr>
      <w:rFonts w:ascii="Ubuntu" w:hAnsi="Ubuntu"/>
      <w:sz w:val="20"/>
    </w:rPr>
  </w:style>
  <w:style w:type="paragraph" w:styleId="Contents4">
    <w:name w:val="TOC 4"/>
    <w:basedOn w:val="Ndice"/>
    <w:pPr>
      <w:tabs>
        <w:tab w:val="clear" w:pos="720"/>
        <w:tab w:val="right" w:pos="8511" w:leader="dot"/>
      </w:tabs>
      <w:ind w:left="849" w:hanging="0"/>
    </w:pPr>
    <w:rPr>
      <w:rFonts w:ascii="Ubuntu" w:hAnsi="Ubuntu"/>
      <w:sz w:val="20"/>
    </w:rPr>
  </w:style>
  <w:style w:type="paragraph" w:styleId="Ttulo10">
    <w:name w:val="Título 10"/>
    <w:basedOn w:val="Ttulo"/>
    <w:next w:val="TextBody"/>
    <w:qFormat/>
    <w:pPr>
      <w:spacing w:before="60" w:after="60"/>
      <w:outlineLvl w:val="8"/>
    </w:pPr>
    <w:rPr>
      <w:rFonts w:ascii="Ubuntu" w:hAnsi="Ubuntu"/>
      <w:b w:val="false"/>
      <w:bCs/>
      <w:sz w:val="21"/>
      <w:szCs w:val="21"/>
    </w:rPr>
  </w:style>
  <w:style w:type="paragraph" w:styleId="Ttulodondicedousurio">
    <w:name w:val="Título do índice do usuário"/>
    <w:basedOn w:val="IndexHeading"/>
    <w:qFormat/>
    <w:pPr>
      <w:suppressLineNumbers/>
      <w:ind w:left="0" w:hanging="0"/>
    </w:pPr>
    <w:rPr>
      <w:rFonts w:ascii="Ubuntu" w:hAnsi="Ubuntu"/>
      <w:b/>
      <w:bCs/>
      <w:caps/>
      <w:sz w:val="32"/>
      <w:szCs w:val="32"/>
    </w:rPr>
  </w:style>
  <w:style w:type="paragraph" w:styleId="Ttulodondicedetabelas">
    <w:name w:val="Título do índice de tabelas"/>
    <w:basedOn w:val="IndexHeading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Ttulodondicedeobjetos">
    <w:name w:val="Título do índice de objetos"/>
    <w:basedOn w:val="IndexHeading"/>
    <w:qFormat/>
    <w:pPr>
      <w:suppressLineNumbers/>
      <w:ind w:left="0" w:hanging="0"/>
    </w:pPr>
    <w:rPr>
      <w:rFonts w:ascii="Ubuntu" w:hAnsi="Ubuntu"/>
      <w:b/>
      <w:bCs/>
      <w:sz w:val="32"/>
      <w:szCs w:val="32"/>
    </w:rPr>
  </w:style>
  <w:style w:type="paragraph" w:styleId="Ttulodondicedefiguras">
    <w:name w:val="Título do índice de figuras"/>
    <w:basedOn w:val="IndexHeading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ableofAuthorities">
    <w:name w:val="Table of Authorities"/>
    <w:basedOn w:val="IndexHeading"/>
    <w:qFormat/>
    <w:pPr>
      <w:suppressLineNumbers/>
      <w:ind w:left="0" w:hanging="0"/>
    </w:pPr>
    <w:rPr>
      <w:b/>
      <w:bCs/>
      <w:sz w:val="28"/>
      <w:szCs w:val="32"/>
    </w:rPr>
  </w:style>
  <w:style w:type="paragraph" w:styleId="Tabela">
    <w:name w:val="Tabela"/>
    <w:basedOn w:val="Caption"/>
    <w:qFormat/>
    <w:pPr/>
    <w:rPr/>
  </w:style>
  <w:style w:type="paragraph" w:styleId="Closing">
    <w:name w:val="Closing"/>
    <w:basedOn w:val="Ttulo"/>
    <w:next w:val="TextBody"/>
    <w:qFormat/>
    <w:pPr>
      <w:jc w:val="center"/>
    </w:pPr>
    <w:rPr>
      <w:rFonts w:ascii="Ubuntu" w:hAnsi="Ubuntu"/>
      <w:b/>
      <w:bCs/>
      <w:sz w:val="32"/>
      <w:szCs w:val="32"/>
    </w:rPr>
  </w:style>
  <w:style w:type="paragraph" w:styleId="Contedodoquadro">
    <w:name w:val="Conteúdo do quadro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philsf-biostat.github.io/SAR-2022-012-IC/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philsf-biostat.github.io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Application>LibreOffice/7.3.3.2$Linux_X86_64 LibreOffice_project/30$Build-2</Application>
  <AppVersion>15.0000</AppVersion>
  <Pages>9</Pages>
  <Words>1728</Words>
  <Characters>9376</Characters>
  <CharactersWithSpaces>10758</CharactersWithSpaces>
  <Paragraphs>418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2022-05-26T21:12:24Z</dcterms:created>
  <dc:creator>De: Felipe Figueiredo Para: Isnar Castro</dc:creator>
  <dc:description/>
  <dc:language>pt-BR</dc:language>
  <cp:lastModifiedBy>Felipe Figueiredo</cp:lastModifiedBy>
  <dcterms:modified xsi:type="dcterms:W3CDTF">2022-05-26T18:31:54Z</dcterms:modified>
  <cp:revision>4</cp:revision>
  <dc:subject/>
  <dc:title>Consistência de mensurações radiológicas para diagnóstico de sindesmose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2022-05-20</vt:lpwstr>
  </property>
  <property fmtid="{D5CDD505-2E9C-101B-9397-08002B2CF9AE}" pid="3" name="output">
    <vt:lpwstr/>
  </property>
  <property fmtid="{D5CDD505-2E9C-101B-9397-08002B2CF9AE}" pid="4" name="subtitle">
    <vt:lpwstr>DOCUMENTO: SAR-2022-012-IC-v01</vt:lpwstr>
  </property>
  <property fmtid="{D5CDD505-2E9C-101B-9397-08002B2CF9AE}" pid="5" name="toc-title">
    <vt:lpwstr>Sumário</vt:lpwstr>
  </property>
</Properties>
</file>