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Plano Analítico para Prognóstico de componentes hematológicos após ATQ bilateral simultânea em centro cirúrgico de referência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SAP-2022-014-MM-v01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Marcelo Monteiro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2022-05-09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324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1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3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5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Hipóteses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57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2.3  Desenho do estudo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5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Dados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1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Dados brutos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3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Tabela de dados analíticos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65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Parâmetros do estudo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7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Critérios de inclusão e exclusão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6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Exposições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1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4.3  Desfechos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3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4.4  Covariáveis</w:t>
              <w:tab/>
              <w:t>4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75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Métodos estatísticos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77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  Análises estatísticas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7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5.1.1  Análise descritiva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1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5.1.2  Análise inferencial</w:t>
              <w:tab/>
              <w:t>4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3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5.1.3  Modelagem estatística</w:t>
              <w:tab/>
              <w:t>5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3285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5.1.4  Dados faltantes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7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5.2  Significância e Intervalos de Confiança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8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5.3  Tamanho da amostra e Poder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1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5.4  Softwares utilizados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3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Observações e limitações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5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3297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3299_3154828084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Disponibilidade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itle"/>
        <w:rPr/>
      </w:pPr>
      <w:r>
        <w:rPr/>
        <w:t>Plano Analítico para Prognóstico de componentes hematológicos após ATQ bilateral simultânea em centro cirúrgico de referência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1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3249_3154828084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CHA: Concentrado de hemácias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EVA: Escala visual analógica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bookmarkStart w:id="2" w:name="lista-de-abreviaturas"/>
      <w:r>
        <w:rPr>
          <w:lang w:val="pt-BR" w:eastAsia="en-US" w:bidi="ar-SA"/>
        </w:rPr>
        <w:t>IMC: índice de massa corpórea</w:t>
      </w:r>
      <w:bookmarkEnd w:id="2"/>
    </w:p>
    <w:p>
      <w:pPr>
        <w:pStyle w:val="Heading1"/>
        <w:rPr>
          <w:lang w:val="pt-BR" w:eastAsia="en-US" w:bidi="ar-SA"/>
        </w:rPr>
      </w:pPr>
      <w:bookmarkStart w:id="3" w:name="__RefHeading___Toc3251_3154828084"/>
      <w:bookmarkStart w:id="4" w:name="contexto"/>
      <w:bookmarkEnd w:id="3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5" w:name="__RefHeading___Toc3253_3154828084"/>
      <w:bookmarkStart w:id="6" w:name="objetivos"/>
      <w:bookmarkEnd w:id="5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7" w:name="objetivos"/>
      <w:r>
        <w:rPr>
          <w:lang w:val="pt-BR" w:eastAsia="en-US" w:bidi="ar-SA"/>
        </w:rPr>
        <w:t>Avaliar a perda sanguínea, de componentes hematológicos e diferença em resultados funcionais em pacientes submetidos a artroplastia total do quadril bilateral simultânea, assim como as necessidades transfusionais nesses pacientes em três momentos pós-cirúrgicos.</w:t>
      </w:r>
      <w:bookmarkEnd w:id="7"/>
    </w:p>
    <w:p>
      <w:pPr>
        <w:pStyle w:val="Heading2"/>
        <w:rPr>
          <w:lang w:val="pt-BR" w:eastAsia="en-US" w:bidi="ar-SA"/>
        </w:rPr>
      </w:pPr>
      <w:bookmarkStart w:id="8" w:name="__RefHeading___Toc3255_3154828084"/>
      <w:bookmarkStart w:id="9" w:name="hipóteses"/>
      <w:bookmarkEnd w:id="8"/>
      <w:r>
        <w:rPr>
          <w:lang w:val="pt-BR" w:eastAsia="en-US" w:bidi="ar-SA"/>
        </w:rPr>
        <w:t>Hipóteses</w:t>
      </w:r>
    </w:p>
    <w:p>
      <w:pPr>
        <w:pStyle w:val="FirstParagraph"/>
        <w:rPr>
          <w:lang w:val="pt-BR" w:eastAsia="en-US" w:bidi="ar-SA"/>
        </w:rPr>
      </w:pPr>
      <w:bookmarkStart w:id="10" w:name="hipóteses"/>
      <w:r>
        <w:rPr>
          <w:lang w:val="pt-BR" w:eastAsia="en-US" w:bidi="ar-SA"/>
        </w:rPr>
        <w:t>N/A</w:t>
      </w:r>
      <w:bookmarkEnd w:id="10"/>
    </w:p>
    <w:p>
      <w:pPr>
        <w:pStyle w:val="Heading2"/>
        <w:rPr>
          <w:lang w:val="pt-BR" w:eastAsia="en-US" w:bidi="ar-SA"/>
        </w:rPr>
      </w:pPr>
      <w:bookmarkStart w:id="11" w:name="__RefHeading___Toc3257_3154828084"/>
      <w:bookmarkStart w:id="12" w:name="desenho-do-estudo"/>
      <w:bookmarkEnd w:id="11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13" w:name="contexto"/>
      <w:bookmarkStart w:id="14" w:name="desenho-do-estudo"/>
      <w:r>
        <w:rPr>
          <w:lang w:val="pt-BR" w:eastAsia="en-US" w:bidi="ar-SA"/>
        </w:rPr>
        <w:t>Estudo longitudinal do tipo coorte prospectiva, de braço único.</w:t>
      </w:r>
      <w:bookmarkEnd w:id="13"/>
      <w:bookmarkEnd w:id="14"/>
    </w:p>
    <w:p>
      <w:pPr>
        <w:pStyle w:val="Heading1"/>
        <w:rPr>
          <w:lang w:val="pt-BR" w:eastAsia="en-US" w:bidi="ar-SA"/>
        </w:rPr>
      </w:pPr>
      <w:bookmarkStart w:id="15" w:name="__RefHeading___Toc3259_3154828084"/>
      <w:bookmarkStart w:id="16" w:name="dados"/>
      <w:bookmarkEnd w:id="15"/>
      <w:r>
        <w:rPr>
          <w:lang w:val="pt-BR" w:eastAsia="en-US" w:bidi="ar-SA"/>
        </w:rPr>
        <w:t>Dados</w:t>
      </w:r>
    </w:p>
    <w:p>
      <w:pPr>
        <w:pStyle w:val="Heading2"/>
        <w:rPr>
          <w:lang w:val="pt-BR" w:eastAsia="en-US" w:bidi="ar-SA"/>
        </w:rPr>
      </w:pPr>
      <w:bookmarkStart w:id="17" w:name="__RefHeading___Toc3261_3154828084"/>
      <w:bookmarkStart w:id="18" w:name="dados-brutos"/>
      <w:bookmarkEnd w:id="17"/>
      <w:r>
        <w:rPr>
          <w:lang w:val="pt-BR" w:eastAsia="en-US" w:bidi="ar-SA"/>
        </w:rPr>
        <w:t>Dados brutos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44 variáveis coletadas de 23 observações. As variáveis incluíam diversas datas, altura, peso e resultados de exames de sangue.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 xml:space="preserve">A idade foi calculada a partir da data de nascimento com precisão de calendário (considerando anos bissextos) relativa à data da cirurgia. O IMC foi calculado a partir a partir da altura e peso como </w:t>
      </w:r>
      <w:r>
        <w:rPr>
          <w:lang w:val="pt-BR" w:eastAsia="en-US" w:bidi="ar-SA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s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o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r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lang w:val="pt-BR" w:eastAsia="en-US" w:bidi="ar-SA"/>
        </w:rPr>
        <w:t xml:space="preserve"> kg/m².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 volemia foi calculada seguindo as fórmulas:</w:t>
      </w:r>
    </w:p>
    <w:p>
      <w:pPr>
        <w:pStyle w:val="Compact"/>
        <w:numPr>
          <w:ilvl w:val="0"/>
          <w:numId w:val="7"/>
        </w:numPr>
        <w:rPr>
          <w:lang w:val="pt-BR" w:eastAsia="en-US" w:bidi="ar-SA"/>
        </w:rPr>
      </w:pPr>
      <w:r>
        <w:rPr>
          <w:lang w:val="pt-BR" w:eastAsia="en-US" w:bidi="ar-SA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o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0.367</m:t>
          </m:r>
          <m:r>
            <w:rPr>
              <w:rFonts w:ascii="Cambria Math" w:hAnsi="Cambria Math"/>
            </w:rPr>
            <m:t xml:space="preserve">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0.32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0.604</m:t>
          </m:r>
        </m:oMath>
      </m:oMathPara>
    </w:p>
    <w:p>
      <w:pPr>
        <w:pStyle w:val="Compact"/>
        <w:numPr>
          <w:ilvl w:val="0"/>
          <w:numId w:val="8"/>
        </w:numPr>
        <w:rPr>
          <w:lang w:val="pt-BR" w:eastAsia="en-US" w:bidi="ar-SA"/>
        </w:rPr>
      </w:pPr>
      <w:r>
        <w:rPr>
          <w:lang w:val="pt-BR" w:eastAsia="en-US" w:bidi="ar-SA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</m:e>
            <m:sub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h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r</m:t>
              </m:r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altura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0.356</m:t>
          </m:r>
          <m:r>
            <w:rPr>
              <w:rFonts w:ascii="Cambria Math" w:hAnsi="Cambria Math"/>
            </w:rPr>
            <m:t xml:space="preserve">∗</m:t>
          </m:r>
          <m:r>
            <m:rPr>
              <m:lit/>
              <m:nor/>
            </m:rPr>
            <w:rPr>
              <w:rFonts w:ascii="Cambria Math" w:hAnsi="Cambria Math"/>
            </w:rPr>
            <m:t xml:space="preserve">peso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0.33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0.183</m:t>
          </m:r>
        </m:oMath>
      </m:oMathPara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a</w:t>
      </w:r>
      <w:r>
        <w:rPr>
          <w:lang w:val="pt-BR" w:eastAsia="en-US" w:bidi="ar-SA"/>
        </w:rPr>
        <w:t xml:space="preserve"> perda de sangue </w:t>
      </w:r>
      <w:r>
        <w:rPr>
          <w:lang w:val="pt-BR" w:eastAsia="en-US" w:bidi="ar-SA"/>
        </w:rPr>
        <w:t>como</w:t>
      </w:r>
      <w:r>
        <w:rPr>
          <w:lang w:val="pt-BR" w:eastAsia="en-US" w:bidi="ar-SA"/>
        </w:rPr>
        <w:t xml:space="preserve"> a perda de hemoglobina foram calculadas seguindo as fórmulas:</w:t>
      </w:r>
    </w:p>
    <w:p>
      <w:pPr>
        <w:pStyle w:val="Compact"/>
        <w:numPr>
          <w:ilvl w:val="0"/>
          <w:numId w:val="9"/>
        </w:numPr>
        <w:rPr>
          <w:lang w:val="pt-BR" w:eastAsia="en-US" w:bidi="ar-SA"/>
        </w:rPr>
      </w:pPr>
      <w:r>
        <w:rPr>
          <w:lang w:val="pt-BR" w:eastAsia="en-US" w:bidi="ar-SA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hemoglobina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volemia</m:t>
              </m:r>
              <m:r>
                <w:rPr>
                  <w:rFonts w:ascii="Cambria Math" w:hAnsi="Cambria Math"/>
                </w:rPr>
                <m:t xml:space="preserve">∗</m:t>
              </m:r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num>
            <m:den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é</m:t>
                  </m:r>
                </m:sub>
              </m:sSub>
            </m:den>
          </m:f>
        </m:oMath>
      </m:oMathPara>
    </w:p>
    <w:p>
      <w:pPr>
        <w:pStyle w:val="Compact"/>
        <w:numPr>
          <w:ilvl w:val="0"/>
          <w:numId w:val="10"/>
        </w:numPr>
        <w:rPr>
          <w:lang w:val="pt-BR" w:eastAsia="en-US" w:bidi="ar-SA"/>
        </w:rPr>
      </w:pPr>
      <w:r>
        <w:rPr>
          <w:lang w:val="pt-BR" w:eastAsia="en-US" w:bidi="ar-SA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perda de sangue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volemia</m:t>
          </m:r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é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perda de hemoglobina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sSub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volume infundido</m:t>
              </m:r>
            </m:e>
            <m:sub>
              <m:r>
                <w:rPr>
                  <w:rFonts w:ascii="Cambria Math" w:hAnsi="Cambria Math"/>
                </w:rPr>
                <m:t xml:space="preserve">t</m:t>
              </m:r>
            </m:sub>
          </m:sSub>
        </m:oMath>
      </m:oMathPara>
    </w:p>
    <w:p>
      <w:pPr>
        <w:pStyle w:val="FirstParagraph"/>
        <w:rPr>
          <w:lang w:val="pt-BR" w:eastAsia="en-US" w:bidi="ar-SA"/>
        </w:rPr>
      </w:pPr>
      <w:bookmarkStart w:id="19" w:name="dados-brutos"/>
      <w:r>
        <w:rPr>
          <w:lang w:val="pt-BR" w:eastAsia="en-US" w:bidi="ar-SA"/>
        </w:rPr>
        <w:t>Após os cálculos as variáveis que não seriam mais usadas foram descartadas.</w:t>
      </w:r>
      <w:bookmarkEnd w:id="19"/>
    </w:p>
    <w:p>
      <w:pPr>
        <w:pStyle w:val="Heading2"/>
        <w:rPr>
          <w:lang w:val="pt-BR" w:eastAsia="en-US" w:bidi="ar-SA"/>
        </w:rPr>
      </w:pPr>
      <w:bookmarkStart w:id="20" w:name="__RefHeading___Toc3263_3154828084"/>
      <w:bookmarkStart w:id="21" w:name="tabela-de-dados-analíticos"/>
      <w:bookmarkEnd w:id="20"/>
      <w:r>
        <w:rPr>
          <w:lang w:val="pt-BR" w:eastAsia="en-US" w:bidi="ar-SA"/>
        </w:rPr>
        <w:t>Tabela de dados analíticos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bruta foi dividida em duas tabelas: uma para a descrição do perfil epidemiológico dos participantes do estudo e a tabela analítica para a análise das alterações nos componentes hematológicos e funcionais.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Depois dos procedimentos de limpeza e seleção 21 variáveis foram incluídas na análise com 23 observações. A Tabela 1 mostra a estrutura dos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Estrutura da tabela de dados analíticos após seleção e limpeza das variáveis.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71"/>
        <w:gridCol w:w="551"/>
        <w:gridCol w:w="551"/>
        <w:gridCol w:w="621"/>
        <w:gridCol w:w="621"/>
        <w:gridCol w:w="500"/>
        <w:gridCol w:w="427"/>
        <w:gridCol w:w="367"/>
        <w:gridCol w:w="419"/>
        <w:gridCol w:w="419"/>
        <w:gridCol w:w="41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>
        <w:trPr/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id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hb_pre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ht_pre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eva_pre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hhs_pre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cha_pre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hb_24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vol_24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perdasang_24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hb_48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ht_48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cha_48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vol_48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eva_48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perdahb_48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perdasang_48</w:t>
            </w:r>
          </w:p>
        </w:tc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hhs_6s</w:t>
            </w:r>
          </w:p>
        </w:tc>
      </w:tr>
      <w:tr>
        <w:trPr/>
        <w:tc>
          <w:tcPr>
            <w:tcW w:w="2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3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…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2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  <w:t>N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6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  <w:tc>
          <w:tcPr>
            <w:tcW w:w="4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2"/>
                <w:szCs w:val="12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22" w:name="dados"/>
      <w:bookmarkStart w:id="23" w:name="tabela-de-dados-analíticos"/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End w:id="22"/>
      <w:bookmarkEnd w:id="23"/>
    </w:p>
    <w:p>
      <w:pPr>
        <w:pStyle w:val="Heading1"/>
        <w:rPr>
          <w:lang w:val="pt-BR" w:eastAsia="en-US" w:bidi="ar-SA"/>
        </w:rPr>
      </w:pPr>
      <w:bookmarkStart w:id="24" w:name="__RefHeading___Toc3265_3154828084"/>
      <w:bookmarkStart w:id="25" w:name="parâmetros-do-estudo"/>
      <w:bookmarkEnd w:id="24"/>
      <w:r>
        <w:rPr>
          <w:lang w:val="pt-BR" w:eastAsia="en-US" w:bidi="ar-SA"/>
        </w:rPr>
        <w:t>Parâmetros do estudo</w:t>
      </w:r>
    </w:p>
    <w:p>
      <w:pPr>
        <w:pStyle w:val="Heading2"/>
        <w:rPr>
          <w:lang w:val="pt-BR" w:eastAsia="en-US" w:bidi="ar-SA"/>
        </w:rPr>
      </w:pPr>
      <w:bookmarkStart w:id="26" w:name="__RefHeading___Toc3267_3154828084"/>
      <w:bookmarkStart w:id="27" w:name="critérios-de-inclusão-e-exclusão"/>
      <w:bookmarkEnd w:id="26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28" w:name="critérios-de-inclusão-e-exclusão"/>
      <w:r>
        <w:rPr>
          <w:lang w:val="pt-BR" w:eastAsia="en-US" w:bidi="ar-SA"/>
        </w:rPr>
        <w:t>N/A</w:t>
      </w:r>
      <w:bookmarkEnd w:id="28"/>
    </w:p>
    <w:p>
      <w:pPr>
        <w:pStyle w:val="Heading2"/>
        <w:rPr>
          <w:lang w:val="pt-BR" w:eastAsia="en-US" w:bidi="ar-SA"/>
        </w:rPr>
      </w:pPr>
      <w:bookmarkStart w:id="29" w:name="__RefHeading___Toc3269_3154828084"/>
      <w:bookmarkStart w:id="30" w:name="exposições"/>
      <w:bookmarkEnd w:id="29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31" w:name="exposições"/>
      <w:r>
        <w:rPr>
          <w:lang w:val="pt-BR" w:eastAsia="en-US" w:bidi="ar-SA"/>
        </w:rPr>
        <w:t>N/A</w:t>
      </w:r>
      <w:bookmarkEnd w:id="31"/>
    </w:p>
    <w:p>
      <w:pPr>
        <w:pStyle w:val="Heading2"/>
        <w:rPr>
          <w:lang w:val="pt-BR" w:eastAsia="en-US" w:bidi="ar-SA"/>
        </w:rPr>
      </w:pPr>
      <w:bookmarkStart w:id="32" w:name="__RefHeading___Toc3271_3154828084"/>
      <w:bookmarkStart w:id="33" w:name="desfechos"/>
      <w:bookmarkEnd w:id="32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Especificação das medidas de desfecho</w:t>
      </w:r>
      <w:r>
        <w:rPr>
          <w:lang w:val="pt-BR" w:eastAsia="en-US" w:bidi="ar-SA"/>
        </w:rPr>
        <w:t xml:space="preserve"> (Zarin, 2011):</w:t>
      </w:r>
    </w:p>
    <w:p>
      <w:pPr>
        <w:pStyle w:val="Compact"/>
        <w:numPr>
          <w:ilvl w:val="0"/>
          <w:numId w:val="11"/>
        </w:numPr>
        <w:rPr>
          <w:lang w:val="pt-BR" w:eastAsia="en-US" w:bidi="ar-SA"/>
        </w:rPr>
      </w:pPr>
      <w:r>
        <w:rPr>
          <w:lang w:val="pt-BR" w:eastAsia="en-US" w:bidi="ar-SA"/>
        </w:rPr>
        <w:t>(Domínio) Hemorragia / Anemia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lang w:val="pt-BR" w:eastAsia="en-US" w:bidi="ar-SA"/>
        </w:rPr>
        <w:t>(Mensuração específica) Perda de componentes hematológicos e de sangue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lang w:val="pt-BR" w:eastAsia="en-US" w:bidi="ar-SA"/>
        </w:rPr>
        <w:t>(Métrica específica) Mudança em relação à linha de base</w:t>
      </w:r>
    </w:p>
    <w:p>
      <w:pPr>
        <w:pStyle w:val="Compact"/>
        <w:numPr>
          <w:ilvl w:val="0"/>
          <w:numId w:val="5"/>
        </w:numPr>
        <w:rPr>
          <w:lang w:val="pt-BR" w:eastAsia="en-US" w:bidi="ar-SA"/>
        </w:rPr>
      </w:pPr>
      <w:r>
        <w:rPr>
          <w:lang w:val="pt-BR" w:eastAsia="en-US" w:bidi="ar-SA"/>
        </w:rPr>
        <w:t>(Método de agregação) Média</w:t>
      </w:r>
    </w:p>
    <w:p>
      <w:pPr>
        <w:pStyle w:val="FirstParagraph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Desfecho primário</w:t>
      </w:r>
    </w:p>
    <w:p>
      <w:pPr>
        <w:pStyle w:val="TextBody"/>
        <w:rPr>
          <w:lang w:val="pt-BR" w:eastAsia="en-US" w:bidi="ar-SA"/>
        </w:rPr>
      </w:pPr>
      <w:bookmarkStart w:id="34" w:name="desfechos"/>
      <w:r>
        <w:rPr>
          <w:lang w:val="pt-BR" w:eastAsia="en-US" w:bidi="ar-SA"/>
        </w:rPr>
        <w:t>Perda de componentes hematológicos e de sangue em 24 e 48 horas após a cirurgua, e mudança do HHS após seis semanas em relação ao momento pré-operatório.</w:t>
      </w:r>
      <w:bookmarkEnd w:id="34"/>
    </w:p>
    <w:p>
      <w:pPr>
        <w:pStyle w:val="Heading2"/>
        <w:rPr>
          <w:lang w:val="pt-BR" w:eastAsia="en-US" w:bidi="ar-SA"/>
        </w:rPr>
      </w:pPr>
      <w:bookmarkStart w:id="35" w:name="__RefHeading___Toc3273_3154828084"/>
      <w:bookmarkStart w:id="36" w:name="covariáveis"/>
      <w:bookmarkEnd w:id="35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37" w:name="parâmetros-do-estudo"/>
      <w:bookmarkStart w:id="38" w:name="covariáveis"/>
      <w:r>
        <w:rPr>
          <w:lang w:val="pt-BR" w:eastAsia="en-US" w:bidi="ar-SA"/>
        </w:rPr>
        <w:t>N/A</w:t>
      </w:r>
      <w:bookmarkEnd w:id="37"/>
      <w:bookmarkEnd w:id="38"/>
    </w:p>
    <w:p>
      <w:pPr>
        <w:pStyle w:val="Heading1"/>
        <w:rPr>
          <w:lang w:val="pt-BR" w:eastAsia="en-US" w:bidi="ar-SA"/>
        </w:rPr>
      </w:pPr>
      <w:bookmarkStart w:id="39" w:name="__RefHeading___Toc3275_3154828084"/>
      <w:bookmarkStart w:id="40" w:name="métodos-estatísticos"/>
      <w:bookmarkEnd w:id="39"/>
      <w:r>
        <w:rPr>
          <w:lang w:val="pt-BR" w:eastAsia="en-US" w:bidi="ar-SA"/>
        </w:rPr>
        <w:t>Métodos estatísticos</w:t>
      </w:r>
    </w:p>
    <w:p>
      <w:pPr>
        <w:pStyle w:val="Heading2"/>
        <w:rPr>
          <w:lang w:val="pt-BR" w:eastAsia="en-US" w:bidi="ar-SA"/>
        </w:rPr>
      </w:pPr>
      <w:bookmarkStart w:id="41" w:name="__RefHeading___Toc3277_3154828084"/>
      <w:bookmarkStart w:id="42" w:name="análises-estatísticas"/>
      <w:bookmarkEnd w:id="41"/>
      <w:r>
        <w:rPr>
          <w:lang w:val="pt-BR" w:eastAsia="en-US" w:bidi="ar-SA"/>
        </w:rPr>
        <w:t>Análises estatísticas</w:t>
      </w:r>
    </w:p>
    <w:p>
      <w:pPr>
        <w:pStyle w:val="Heading3"/>
        <w:rPr>
          <w:lang w:val="pt-BR" w:eastAsia="en-US" w:bidi="ar-SA"/>
        </w:rPr>
      </w:pPr>
      <w:bookmarkStart w:id="43" w:name="__RefHeading___Toc3279_3154828084"/>
      <w:bookmarkStart w:id="44" w:name="análise-descritiva"/>
      <w:bookmarkEnd w:id="43"/>
      <w:r>
        <w:rPr>
          <w:lang w:val="pt-BR" w:eastAsia="en-US" w:bidi="ar-SA"/>
        </w:rPr>
        <w:t>Análise descritiva</w:t>
      </w:r>
    </w:p>
    <w:p>
      <w:pPr>
        <w:pStyle w:val="FirstParagraph"/>
        <w:rPr>
          <w:lang w:val="pt-BR" w:eastAsia="en-US" w:bidi="ar-SA"/>
        </w:rPr>
      </w:pPr>
      <w:bookmarkStart w:id="45" w:name="análise-descritiva"/>
      <w:r>
        <w:rPr>
          <w:lang w:val="pt-BR" w:eastAsia="en-US" w:bidi="ar-SA"/>
        </w:rPr>
        <w:t>O perfil epidemiológico dos participantes do estudo será descrito na baseline. As características demográficas (sexo, idade e IMC) e clínicas  serão descritas como média (DP)  ou frequência e proporção (%), conforme apropriado. As distribuições das características dos participantes serão resumidas em tabelas e visualizadas em gráficos exploratórios</w:t>
      </w:r>
      <w:bookmarkEnd w:id="45"/>
    </w:p>
    <w:p>
      <w:pPr>
        <w:pStyle w:val="Heading3"/>
        <w:rPr>
          <w:lang w:val="pt-BR" w:eastAsia="en-US" w:bidi="ar-SA"/>
        </w:rPr>
      </w:pPr>
      <w:bookmarkStart w:id="46" w:name="__RefHeading___Toc3281_3154828084"/>
      <w:bookmarkStart w:id="47" w:name="análise-inferencial"/>
      <w:bookmarkEnd w:id="46"/>
      <w:r>
        <w:rPr>
          <w:lang w:val="pt-BR" w:eastAsia="en-US" w:bidi="ar-SA"/>
        </w:rPr>
        <w:t>Análise inferencial</w:t>
      </w:r>
    </w:p>
    <w:p>
      <w:pPr>
        <w:pStyle w:val="FirstParagraph"/>
        <w:rPr>
          <w:lang w:val="pt-BR" w:eastAsia="en-US" w:bidi="ar-SA"/>
        </w:rPr>
      </w:pPr>
      <w:bookmarkStart w:id="48" w:name="análise-inferencial"/>
      <w:r>
        <w:rPr>
          <w:lang w:val="pt-BR" w:eastAsia="en-US" w:bidi="ar-SA"/>
        </w:rPr>
        <w:t>Todas as comparações entre os grupos serão avaliadas como análises univariadas. Variáveis contínuas serão comparadas entre os períodos com o  teste t pareado.</w:t>
      </w:r>
      <w:bookmarkEnd w:id="48"/>
    </w:p>
    <w:p>
      <w:pPr>
        <w:pStyle w:val="Heading3"/>
        <w:rPr>
          <w:lang w:val="pt-BR" w:eastAsia="en-US" w:bidi="ar-SA"/>
        </w:rPr>
      </w:pPr>
      <w:bookmarkStart w:id="49" w:name="__RefHeading___Toc3283_3154828084"/>
      <w:bookmarkStart w:id="50" w:name="modelagem-estatística"/>
      <w:bookmarkEnd w:id="49"/>
      <w:r>
        <w:rPr>
          <w:lang w:val="pt-BR" w:eastAsia="en-US" w:bidi="ar-SA"/>
        </w:rPr>
        <w:t>Modelagem estatística</w:t>
      </w:r>
    </w:p>
    <w:p>
      <w:pPr>
        <w:pStyle w:val="FirstParagraph"/>
        <w:rPr>
          <w:lang w:val="pt-BR" w:eastAsia="en-US" w:bidi="ar-SA"/>
        </w:rPr>
      </w:pPr>
      <w:bookmarkStart w:id="51" w:name="modelagem-estatística"/>
      <w:r>
        <w:rPr>
          <w:lang w:val="pt-BR" w:eastAsia="en-US" w:bidi="ar-SA"/>
        </w:rPr>
        <w:t>N/A</w:t>
      </w:r>
      <w:bookmarkEnd w:id="51"/>
    </w:p>
    <w:p>
      <w:pPr>
        <w:pStyle w:val="Heading3"/>
        <w:rPr>
          <w:lang w:val="pt-BR" w:eastAsia="en-US" w:bidi="ar-SA"/>
        </w:rPr>
      </w:pPr>
      <w:bookmarkStart w:id="52" w:name="__RefHeading___Toc3285_3154828084"/>
      <w:bookmarkStart w:id="53" w:name="dados-faltantes"/>
      <w:bookmarkEnd w:id="52"/>
      <w:r>
        <w:rPr>
          <w:lang w:val="pt-BR" w:eastAsia="en-US" w:bidi="ar-SA"/>
        </w:rPr>
        <w:t>Dados faltantes</w:t>
      </w:r>
    </w:p>
    <w:p>
      <w:pPr>
        <w:pStyle w:val="FirstParagraph"/>
        <w:rPr>
          <w:lang w:val="pt-BR" w:eastAsia="en-US" w:bidi="ar-SA"/>
        </w:rPr>
      </w:pPr>
      <w:bookmarkStart w:id="54" w:name="análises-estatísticas"/>
      <w:bookmarkStart w:id="55" w:name="dados-faltantes"/>
      <w:r>
        <w:rPr>
          <w:lang w:val="pt-BR" w:eastAsia="en-US" w:bidi="ar-SA"/>
        </w:rPr>
        <w:t>Não serão realizadas imputações de dados faltantes. Todas as avaliações serão realizadas como análises de casos completos.</w:t>
      </w:r>
      <w:bookmarkEnd w:id="54"/>
      <w:bookmarkEnd w:id="55"/>
    </w:p>
    <w:p>
      <w:pPr>
        <w:pStyle w:val="Heading2"/>
        <w:rPr>
          <w:lang w:val="pt-BR" w:eastAsia="en-US" w:bidi="ar-SA"/>
        </w:rPr>
      </w:pPr>
      <w:bookmarkStart w:id="56" w:name="__RefHeading___Toc3287_3154828084"/>
      <w:bookmarkStart w:id="57" w:name="significância-e-intervalos-de-confiança"/>
      <w:bookmarkEnd w:id="56"/>
      <w:r>
        <w:rPr>
          <w:lang w:val="pt-BR" w:eastAsia="en-US" w:bidi="ar-SA"/>
        </w:rPr>
        <w:t>Significância e Intervalos de Confiança</w:t>
      </w:r>
    </w:p>
    <w:p>
      <w:pPr>
        <w:pStyle w:val="FirstParagraph"/>
        <w:rPr>
          <w:lang w:val="pt-BR" w:eastAsia="en-US" w:bidi="ar-SA"/>
        </w:rPr>
      </w:pPr>
      <w:bookmarkStart w:id="58" w:name="significância-e-intervalos-de-confiança"/>
      <w:r>
        <w:rPr>
          <w:lang w:val="pt-BR" w:eastAsia="en-US" w:bidi="ar-SA"/>
        </w:rPr>
        <w:t xml:space="preserve">Todas as análises serão realizadas ao nível de significância de 5%. Todos os testes de hipóteses e intervalos de confiança calculados serão bicaudais.  </w:t>
      </w:r>
      <w:bookmarkEnd w:id="58"/>
    </w:p>
    <w:p>
      <w:pPr>
        <w:pStyle w:val="Heading2"/>
        <w:rPr>
          <w:lang w:val="pt-BR" w:eastAsia="en-US" w:bidi="ar-SA"/>
        </w:rPr>
      </w:pPr>
      <w:bookmarkStart w:id="59" w:name="__RefHeading___Toc3289_3154828084"/>
      <w:bookmarkStart w:id="60" w:name="tamanho-da-amostra-e-poder"/>
      <w:bookmarkEnd w:id="59"/>
      <w:r>
        <w:rPr>
          <w:lang w:val="pt-BR" w:eastAsia="en-US" w:bidi="ar-SA"/>
        </w:rPr>
        <w:t>Tamanho da amostra e Poder</w:t>
      </w:r>
    </w:p>
    <w:p>
      <w:pPr>
        <w:pStyle w:val="FirstParagraph"/>
        <w:rPr>
          <w:lang w:val="pt-BR" w:eastAsia="en-US" w:bidi="ar-SA"/>
        </w:rPr>
      </w:pPr>
      <w:bookmarkStart w:id="61" w:name="tamanho-da-amostra-e-poder"/>
      <w:r>
        <w:rPr>
          <w:lang w:val="pt-BR" w:eastAsia="en-US" w:bidi="ar-SA"/>
        </w:rPr>
        <w:t>N/A</w:t>
      </w:r>
      <w:bookmarkEnd w:id="61"/>
    </w:p>
    <w:p>
      <w:pPr>
        <w:pStyle w:val="Heading2"/>
        <w:rPr>
          <w:lang w:val="pt-BR" w:eastAsia="en-US" w:bidi="ar-SA"/>
        </w:rPr>
      </w:pPr>
      <w:bookmarkStart w:id="62" w:name="__RefHeading___Toc3291_3154828084"/>
      <w:bookmarkStart w:id="63" w:name="softwares-utilizados"/>
      <w:bookmarkEnd w:id="62"/>
      <w:r>
        <w:rPr>
          <w:lang w:val="pt-BR" w:eastAsia="en-US" w:bidi="ar-SA"/>
        </w:rPr>
        <w:t>Softwares utilizados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será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40"/>
      <w:bookmarkEnd w:id="63"/>
    </w:p>
    <w:p>
      <w:pPr>
        <w:pStyle w:val="Heading1"/>
        <w:rPr>
          <w:lang w:val="pt-BR" w:eastAsia="en-US" w:bidi="ar-SA"/>
        </w:rPr>
      </w:pPr>
      <w:bookmarkStart w:id="64" w:name="__RefHeading___Toc3293_3154828084"/>
      <w:bookmarkStart w:id="65" w:name="observações-e-limitações"/>
      <w:bookmarkEnd w:id="64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66" w:name="observações-e-limitações"/>
      <w:r>
        <w:rPr>
          <w:lang w:val="pt-BR" w:eastAsia="en-US" w:bidi="ar-SA"/>
        </w:rPr>
        <w:t>N/A</w:t>
      </w:r>
      <w:bookmarkEnd w:id="66"/>
    </w:p>
    <w:p>
      <w:pPr>
        <w:pStyle w:val="Heading1"/>
        <w:rPr>
          <w:lang w:val="pt-BR" w:eastAsia="en-US" w:bidi="ar-SA"/>
        </w:rPr>
      </w:pPr>
      <w:bookmarkStart w:id="67" w:name="__RefHeading___Toc3295_3154828084"/>
      <w:bookmarkStart w:id="68" w:name="referências"/>
      <w:bookmarkEnd w:id="67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SAR-2022-014-MM-v01</w:t>
      </w:r>
      <w:r>
        <w:rPr>
          <w:lang w:val="pt-BR" w:eastAsia="en-US" w:bidi="ar-SA"/>
        </w:rPr>
        <w:t xml:space="preserve"> – Prognóstico de componentes hematológicos após ATQ bilateral simultânea em centro cirúrgico de referência </w:t>
      </w:r>
    </w:p>
    <w:p>
      <w:pPr>
        <w:pStyle w:val="Compact"/>
        <w:numPr>
          <w:ilvl w:val="0"/>
          <w:numId w:val="13"/>
        </w:numPr>
        <w:rPr/>
      </w:pPr>
      <w:r>
        <w:rPr>
          <w:lang w:val="pt-BR" w:eastAsia="en-US" w:bidi="ar-SA"/>
        </w:rPr>
        <w:t>Zarin DA, et al. The ClinicalTrials.gov results database – update and key issues. N Engl J Med 2011;364:852-60 (</w:t>
      </w:r>
      <w:hyperlink r:id="rId2">
        <w:r>
          <w:rPr>
            <w:rStyle w:val="InternetLink"/>
            <w:lang w:val="pt-BR" w:eastAsia="en-US" w:bidi="ar-SA"/>
          </w:rPr>
          <w:t>https://doi.org/10.1056/NEJMsa1012065</w:t>
        </w:r>
      </w:hyperlink>
      <w:r>
        <w:rPr>
          <w:lang w:val="pt-BR" w:eastAsia="en-US" w:bidi="ar-SA"/>
        </w:rPr>
        <w:t>).</w:t>
      </w:r>
    </w:p>
    <w:p>
      <w:pPr>
        <w:pStyle w:val="Compact"/>
        <w:numPr>
          <w:ilvl w:val="0"/>
          <w:numId w:val="14"/>
        </w:numPr>
        <w:rPr/>
      </w:pPr>
      <w:r>
        <w:rPr>
          <w:lang w:val="pt-BR" w:eastAsia="en-US" w:bidi="ar-SA"/>
        </w:rPr>
        <w:t>Gamble C, et al. Guidelines for the Content of Statistical Analysis Plans in Clinical Trials. JAMA. 2017;318(23):2337–2343 (</w:t>
      </w:r>
      <w:hyperlink r:id="rId3">
        <w:r>
          <w:rPr>
            <w:rStyle w:val="InternetLink"/>
            <w:lang w:val="pt-BR" w:eastAsia="en-US" w:bidi="ar-SA"/>
          </w:rPr>
          <w:t>https://doi.org/10.1001/jama.2017.18556</w:t>
        </w:r>
      </w:hyperlink>
      <w:r>
        <w:rPr>
          <w:lang w:val="pt-BR" w:eastAsia="en-US" w:bidi="ar-SA"/>
        </w:rPr>
        <w:t>).</w:t>
      </w:r>
      <w:bookmarkEnd w:id="68"/>
    </w:p>
    <w:p>
      <w:pPr>
        <w:pStyle w:val="Heading1"/>
        <w:rPr>
          <w:lang w:val="pt-BR" w:eastAsia="en-US" w:bidi="ar-SA"/>
        </w:rPr>
      </w:pPr>
      <w:bookmarkStart w:id="69" w:name="__RefHeading___Toc3297_3154828084"/>
      <w:bookmarkStart w:id="70" w:name="apêndice"/>
      <w:bookmarkEnd w:id="69"/>
      <w:r>
        <w:rPr>
          <w:lang w:val="pt-BR" w:eastAsia="en-US" w:bidi="ar-SA"/>
        </w:rPr>
        <w:t>Apêndice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Este documento foi elaborado seguindo recomendações de estrutura para Planos de Análise Estatística (Gamble, 2017) para maior transparência e clareza.</w:t>
      </w:r>
    </w:p>
    <w:p>
      <w:pPr>
        <w:pStyle w:val="Heading2"/>
        <w:rPr>
          <w:lang w:val="pt-BR" w:eastAsia="en-US" w:bidi="ar-SA"/>
        </w:rPr>
      </w:pPr>
      <w:bookmarkStart w:id="71" w:name="__RefHeading___Toc3299_3154828084"/>
      <w:bookmarkStart w:id="72" w:name="disponibilidade"/>
      <w:bookmarkEnd w:id="7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spacing w:before="180" w:after="180"/>
        <w:rPr/>
      </w:pPr>
      <w:hyperlink r:id="rId4">
        <w:bookmarkStart w:id="73" w:name="apêndice"/>
        <w:bookmarkStart w:id="74" w:name="disponibilidade"/>
        <w:r>
          <w:rPr>
            <w:rStyle w:val="InternetLink"/>
            <w:lang w:val="pt-BR" w:eastAsia="en-US" w:bidi="ar-SA"/>
          </w:rPr>
          <w:t>https://philsf-biostat.github.io/SAR-2022-014-MM/</w:t>
        </w:r>
      </w:hyperlink>
      <w:bookmarkEnd w:id="73"/>
      <w:bookmarkEnd w:id="74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3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056/NEJMsa1012065" TargetMode="External"/><Relationship Id="rId3" Type="http://schemas.openxmlformats.org/officeDocument/2006/relationships/hyperlink" Target="https://doi.org/10.1001/jama.2017.18556" TargetMode="External"/><Relationship Id="rId4" Type="http://schemas.openxmlformats.org/officeDocument/2006/relationships/hyperlink" Target="https://philsf-biostat.github.io/SAR-2022-014-M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LibreOffice/7.3.3.2$Linux_X86_64 LibreOffice_project/30$Build-2</Application>
  <AppVersion>15.0000</AppVersion>
  <Pages>6</Pages>
  <Words>873</Words>
  <Characters>5038</Characters>
  <CharactersWithSpaces>5834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2022-05-16T08:46:22Z</dcterms:created>
  <dc:creator>De: Felipe Figueiredo Para: Marcelo Monteiro</dc:creator>
  <dc:description/>
  <dc:language>pt-BR</dc:language>
  <cp:lastModifiedBy>Felipe Figueiredo</cp:lastModifiedBy>
  <dcterms:modified xsi:type="dcterms:W3CDTF">2022-05-16T05:51:35Z</dcterms:modified>
  <cp:revision>4</cp:revision>
  <dc:subject/>
  <dc:title>Plano Analítico para Prognóstico de componentes hematológicos após ATQ bilateral simultânea em centro cirúrgico de referência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2022-05-09</vt:lpwstr>
  </property>
  <property fmtid="{D5CDD505-2E9C-101B-9397-08002B2CF9AE}" pid="3" name="output">
    <vt:lpwstr/>
  </property>
  <property fmtid="{D5CDD505-2E9C-101B-9397-08002B2CF9AE}" pid="4" name="subtitle">
    <vt:lpwstr>DOCUMENTO: SAP-2022-014-MM-v01</vt:lpwstr>
  </property>
  <property fmtid="{D5CDD505-2E9C-101B-9397-08002B2CF9AE}" pid="5" name="toc-title">
    <vt:lpwstr>Sumário</vt:lpwstr>
  </property>
</Properties>
</file>