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pt-BR"/>
        </w:rPr>
      </w:pPr>
      <w:r>
        <w:rPr>
          <w:lang w:val="pt-BR"/>
        </w:rPr>
        <w:t>Prognóstico de componentes hematológicos após ATQ bilateral simultânea em centro cirúrgico de referência</w:t>
      </w:r>
    </w:p>
    <w:p>
      <w:pPr>
        <w:pStyle w:val="Subtitle"/>
        <w:rPr>
          <w:lang w:val="pt-BR"/>
        </w:rPr>
      </w:pPr>
      <w:r>
        <w:rPr>
          <w:lang w:val="pt-BR"/>
        </w:rPr>
        <w:t>DOCUMENTO: SAR-2022-014-MM-v01</w:t>
      </w:r>
    </w:p>
    <w:p>
      <w:pPr>
        <w:pStyle w:val="Author"/>
        <w:rPr>
          <w:lang w:val="pt-BR"/>
        </w:rPr>
      </w:pPr>
      <w:r>
        <w:rPr>
          <w:b/>
          <w:bCs/>
          <w:lang w:val="pt-BR"/>
        </w:rPr>
        <w:t>De:</w:t>
      </w:r>
      <w:r>
        <w:rPr>
          <w:lang w:val="pt-BR"/>
        </w:rPr>
        <w:t xml:space="preserve"> Felipe Figueiredo </w:t>
      </w:r>
      <w:r>
        <w:rPr>
          <w:b/>
          <w:bCs/>
          <w:lang w:val="pt-BR"/>
        </w:rPr>
        <w:t>Para:</w:t>
      </w:r>
      <w:r>
        <w:rPr>
          <w:lang w:val="pt-BR"/>
        </w:rPr>
        <w:t xml:space="preserve"> Marcelo Monteiro</w:t>
      </w:r>
    </w:p>
    <w:p>
      <w:pPr>
        <w:pStyle w:val="Date"/>
        <w:rPr>
          <w:lang w:val="pt-BR"/>
        </w:rPr>
      </w:pPr>
      <w:r>
        <w:rPr>
          <w:lang w:val="pt-BR"/>
        </w:rPr>
        <w:t>2022-05-16</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Sumário</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14637_3154828084">
            <w:r>
              <w:rPr>
                <w:webHidden/>
                <w:rStyle w:val="IndexLink"/>
              </w:rPr>
              <w:t xml:space="preserve"> </w:t>
            </w:r>
            <w:r>
              <w:rPr>
                <w:rStyle w:val="IndexLink"/>
              </w:rPr>
              <w:t>1  Lista de abreviaturas</w:t>
              <w:tab/>
              <w:t>2</w:t>
            </w:r>
          </w:hyperlink>
        </w:p>
        <w:p>
          <w:pPr>
            <w:pStyle w:val="Contents1"/>
            <w:tabs>
              <w:tab w:val="clear" w:pos="9360"/>
              <w:tab w:val="right" w:pos="9638" w:leader="dot"/>
            </w:tabs>
            <w:rPr/>
          </w:pPr>
          <w:hyperlink w:anchor="__RefHeading___Toc14639_3154828084">
            <w:r>
              <w:rPr>
                <w:webHidden/>
                <w:rStyle w:val="IndexLink"/>
              </w:rPr>
              <w:t xml:space="preserve"> </w:t>
            </w:r>
            <w:r>
              <w:rPr>
                <w:rStyle w:val="IndexLink"/>
              </w:rPr>
              <w:t>2  Contexto</w:t>
              <w:tab/>
              <w:t>2</w:t>
            </w:r>
          </w:hyperlink>
        </w:p>
        <w:p>
          <w:pPr>
            <w:pStyle w:val="Contents2"/>
            <w:tabs>
              <w:tab w:val="clear" w:pos="9077"/>
              <w:tab w:val="right" w:pos="9638" w:leader="dot"/>
            </w:tabs>
            <w:rPr/>
          </w:pPr>
          <w:hyperlink w:anchor="__RefHeading___Toc14641_3154828084">
            <w:r>
              <w:rPr>
                <w:webHidden/>
                <w:rStyle w:val="IndexLink"/>
              </w:rPr>
              <w:t xml:space="preserve"> </w:t>
            </w:r>
            <w:r>
              <w:rPr>
                <w:rStyle w:val="IndexLink"/>
              </w:rPr>
              <w:t>2.1  Objetivos</w:t>
              <w:tab/>
              <w:t>2</w:t>
            </w:r>
          </w:hyperlink>
        </w:p>
        <w:p>
          <w:pPr>
            <w:pStyle w:val="Contents2"/>
            <w:tabs>
              <w:tab w:val="clear" w:pos="9077"/>
              <w:tab w:val="right" w:pos="9638" w:leader="dot"/>
            </w:tabs>
            <w:rPr/>
          </w:pPr>
          <w:hyperlink w:anchor="__RefHeading___Toc14643_3154828084">
            <w:r>
              <w:rPr>
                <w:webHidden/>
                <w:rStyle w:val="IndexLink"/>
              </w:rPr>
              <w:t xml:space="preserve"> </w:t>
            </w:r>
            <w:r>
              <w:rPr>
                <w:rStyle w:val="IndexLink"/>
              </w:rPr>
              <w:t>2.2  Recepção e tratamento dos dados</w:t>
              <w:tab/>
              <w:t>2</w:t>
            </w:r>
          </w:hyperlink>
        </w:p>
        <w:p>
          <w:pPr>
            <w:pStyle w:val="Contents1"/>
            <w:tabs>
              <w:tab w:val="clear" w:pos="9360"/>
              <w:tab w:val="right" w:pos="9638" w:leader="dot"/>
            </w:tabs>
            <w:rPr/>
          </w:pPr>
          <w:hyperlink w:anchor="__RefHeading___Toc14645_3154828084">
            <w:r>
              <w:rPr>
                <w:webHidden/>
                <w:rStyle w:val="IndexLink"/>
              </w:rPr>
              <w:t xml:space="preserve"> </w:t>
            </w:r>
            <w:r>
              <w:rPr>
                <w:rStyle w:val="IndexLink"/>
              </w:rPr>
              <w:t>3  Metodologia</w:t>
              <w:tab/>
              <w:t>3</w:t>
            </w:r>
          </w:hyperlink>
        </w:p>
        <w:p>
          <w:pPr>
            <w:pStyle w:val="Contents2"/>
            <w:tabs>
              <w:tab w:val="clear" w:pos="9077"/>
              <w:tab w:val="right" w:pos="9638" w:leader="dot"/>
            </w:tabs>
            <w:rPr/>
          </w:pPr>
          <w:hyperlink w:anchor="__RefHeading___Toc14647_3154828084">
            <w:r>
              <w:rPr>
                <w:webHidden/>
                <w:rStyle w:val="IndexLink"/>
              </w:rPr>
              <w:t xml:space="preserve"> </w:t>
            </w:r>
            <w:r>
              <w:rPr>
                <w:rStyle w:val="IndexLink"/>
              </w:rPr>
              <w:t>3.1  Parâmetros do estudo</w:t>
              <w:tab/>
              <w:t>3</w:t>
            </w:r>
          </w:hyperlink>
        </w:p>
        <w:p>
          <w:pPr>
            <w:pStyle w:val="Contents3"/>
            <w:tabs>
              <w:tab w:val="clear" w:pos="8794"/>
              <w:tab w:val="right" w:pos="9638" w:leader="dot"/>
            </w:tabs>
            <w:rPr/>
          </w:pPr>
          <w:hyperlink w:anchor="__RefHeading___Toc14649_3154828084">
            <w:r>
              <w:rPr>
                <w:webHidden/>
                <w:rStyle w:val="IndexLink"/>
              </w:rPr>
              <w:t xml:space="preserve"> </w:t>
            </w:r>
            <w:r>
              <w:rPr>
                <w:rStyle w:val="IndexLink"/>
              </w:rPr>
              <w:t>3.1.1  Desenho do estudo</w:t>
              <w:tab/>
              <w:t>3</w:t>
            </w:r>
          </w:hyperlink>
        </w:p>
        <w:p>
          <w:pPr>
            <w:pStyle w:val="Contents3"/>
            <w:tabs>
              <w:tab w:val="clear" w:pos="8794"/>
              <w:tab w:val="right" w:pos="9638" w:leader="dot"/>
            </w:tabs>
            <w:rPr/>
          </w:pPr>
          <w:hyperlink w:anchor="__RefHeading___Toc14651_3154828084">
            <w:r>
              <w:rPr>
                <w:webHidden/>
                <w:rStyle w:val="IndexLink"/>
              </w:rPr>
              <w:t xml:space="preserve"> </w:t>
            </w:r>
            <w:r>
              <w:rPr>
                <w:rStyle w:val="IndexLink"/>
              </w:rPr>
              <w:t>3.1.2  Critérios de inclusão e exclusão</w:t>
              <w:tab/>
              <w:t>3</w:t>
            </w:r>
          </w:hyperlink>
        </w:p>
        <w:p>
          <w:pPr>
            <w:pStyle w:val="Contents3"/>
            <w:tabs>
              <w:tab w:val="clear" w:pos="8794"/>
              <w:tab w:val="right" w:pos="9638" w:leader="dot"/>
            </w:tabs>
            <w:rPr/>
          </w:pPr>
          <w:hyperlink w:anchor="__RefHeading___Toc14653_3154828084">
            <w:r>
              <w:rPr>
                <w:webHidden/>
                <w:rStyle w:val="IndexLink"/>
              </w:rPr>
              <w:t xml:space="preserve"> </w:t>
            </w:r>
            <w:r>
              <w:rPr>
                <w:rStyle w:val="IndexLink"/>
              </w:rPr>
              <w:t>3.1.3  Exposições</w:t>
              <w:tab/>
              <w:t>3</w:t>
            </w:r>
          </w:hyperlink>
        </w:p>
        <w:p>
          <w:pPr>
            <w:pStyle w:val="Contents3"/>
            <w:tabs>
              <w:tab w:val="clear" w:pos="8794"/>
              <w:tab w:val="right" w:pos="9638" w:leader="dot"/>
            </w:tabs>
            <w:rPr/>
          </w:pPr>
          <w:hyperlink w:anchor="__RefHeading___Toc14655_3154828084">
            <w:r>
              <w:rPr>
                <w:webHidden/>
                <w:rStyle w:val="IndexLink"/>
              </w:rPr>
              <w:t xml:space="preserve"> </w:t>
            </w:r>
            <w:r>
              <w:rPr>
                <w:rStyle w:val="IndexLink"/>
              </w:rPr>
              <w:t>3.1.4  Desfechos</w:t>
              <w:tab/>
              <w:t>3</w:t>
            </w:r>
          </w:hyperlink>
        </w:p>
        <w:p>
          <w:pPr>
            <w:pStyle w:val="Contents3"/>
            <w:tabs>
              <w:tab w:val="clear" w:pos="8794"/>
              <w:tab w:val="right" w:pos="9638" w:leader="dot"/>
            </w:tabs>
            <w:rPr/>
          </w:pPr>
          <w:hyperlink w:anchor="__RefHeading___Toc14657_3154828084">
            <w:r>
              <w:rPr>
                <w:webHidden/>
                <w:rStyle w:val="IndexLink"/>
              </w:rPr>
              <w:t xml:space="preserve"> </w:t>
            </w:r>
            <w:r>
              <w:rPr>
                <w:rStyle w:val="IndexLink"/>
              </w:rPr>
              <w:t>3.1.5  Covariáveis</w:t>
              <w:tab/>
              <w:t>3</w:t>
            </w:r>
          </w:hyperlink>
        </w:p>
        <w:p>
          <w:pPr>
            <w:pStyle w:val="Contents2"/>
            <w:tabs>
              <w:tab w:val="clear" w:pos="9077"/>
              <w:tab w:val="right" w:pos="9638" w:leader="dot"/>
            </w:tabs>
            <w:rPr/>
          </w:pPr>
          <w:hyperlink w:anchor="__RefHeading___Toc14659_3154828084">
            <w:r>
              <w:rPr>
                <w:webHidden/>
                <w:rStyle w:val="IndexLink"/>
              </w:rPr>
              <w:t xml:space="preserve"> </w:t>
            </w:r>
            <w:r>
              <w:rPr>
                <w:rStyle w:val="IndexLink"/>
              </w:rPr>
              <w:t>3.2  Análises Estatísticas</w:t>
              <w:tab/>
              <w:t>3</w:t>
            </w:r>
          </w:hyperlink>
        </w:p>
        <w:p>
          <w:pPr>
            <w:pStyle w:val="Contents1"/>
            <w:tabs>
              <w:tab w:val="clear" w:pos="9360"/>
              <w:tab w:val="right" w:pos="9638" w:leader="dot"/>
            </w:tabs>
            <w:rPr/>
          </w:pPr>
          <w:hyperlink w:anchor="__RefHeading___Toc14661_3154828084">
            <w:r>
              <w:rPr>
                <w:webHidden/>
                <w:rStyle w:val="IndexLink"/>
              </w:rPr>
              <w:t xml:space="preserve"> </w:t>
            </w:r>
            <w:r>
              <w:rPr>
                <w:rStyle w:val="IndexLink"/>
              </w:rPr>
              <w:t>4  Resultados</w:t>
              <w:tab/>
              <w:t>4</w:t>
            </w:r>
          </w:hyperlink>
        </w:p>
        <w:p>
          <w:pPr>
            <w:pStyle w:val="Contents2"/>
            <w:tabs>
              <w:tab w:val="clear" w:pos="9077"/>
              <w:tab w:val="right" w:pos="9638" w:leader="dot"/>
            </w:tabs>
            <w:rPr/>
          </w:pPr>
          <w:hyperlink w:anchor="__RefHeading___Toc14663_3154828084">
            <w:r>
              <w:rPr>
                <w:webHidden/>
                <w:rStyle w:val="IndexLink"/>
              </w:rPr>
              <w:t xml:space="preserve"> </w:t>
            </w:r>
            <w:r>
              <w:rPr>
                <w:rStyle w:val="IndexLink"/>
              </w:rPr>
              <w:t>4.1  População do estudo e acompanhamento</w:t>
              <w:tab/>
              <w:t>4</w:t>
            </w:r>
          </w:hyperlink>
        </w:p>
        <w:p>
          <w:pPr>
            <w:pStyle w:val="Contents2"/>
            <w:tabs>
              <w:tab w:val="clear" w:pos="9077"/>
              <w:tab w:val="right" w:pos="9638" w:leader="dot"/>
            </w:tabs>
            <w:rPr/>
          </w:pPr>
          <w:hyperlink w:anchor="__RefHeading___Toc14665_3154828084">
            <w:r>
              <w:rPr>
                <w:webHidden/>
                <w:rStyle w:val="IndexLink"/>
              </w:rPr>
              <w:t xml:space="preserve"> </w:t>
            </w:r>
            <w:r>
              <w:rPr>
                <w:rStyle w:val="IndexLink"/>
              </w:rPr>
              <w:t>4.2  Prognóstico de componentes hematológicos</w:t>
              <w:tab/>
              <w:t>6</w:t>
            </w:r>
          </w:hyperlink>
        </w:p>
        <w:p>
          <w:pPr>
            <w:pStyle w:val="Contents1"/>
            <w:tabs>
              <w:tab w:val="clear" w:pos="9360"/>
              <w:tab w:val="right" w:pos="9638" w:leader="dot"/>
            </w:tabs>
            <w:rPr/>
          </w:pPr>
          <w:hyperlink w:anchor="__RefHeading___Toc14667_3154828084">
            <w:r>
              <w:rPr>
                <w:webHidden/>
                <w:rStyle w:val="IndexLink"/>
              </w:rPr>
              <w:t xml:space="preserve"> </w:t>
            </w:r>
            <w:r>
              <w:rPr>
                <w:rStyle w:val="IndexLink"/>
              </w:rPr>
              <w:t>5  Observações e limitações</w:t>
              <w:tab/>
              <w:t>8</w:t>
            </w:r>
          </w:hyperlink>
        </w:p>
        <w:p>
          <w:pPr>
            <w:pStyle w:val="Contents1"/>
            <w:tabs>
              <w:tab w:val="clear" w:pos="9360"/>
              <w:tab w:val="right" w:pos="9638" w:leader="dot"/>
            </w:tabs>
            <w:rPr/>
          </w:pPr>
          <w:hyperlink w:anchor="__RefHeading___Toc14669_3154828084">
            <w:r>
              <w:rPr>
                <w:webHidden/>
                <w:rStyle w:val="IndexLink"/>
              </w:rPr>
              <w:t xml:space="preserve"> </w:t>
            </w:r>
            <w:r>
              <w:rPr>
                <w:rStyle w:val="IndexLink"/>
              </w:rPr>
              <w:t>6  Conclusões</w:t>
              <w:tab/>
              <w:t>8</w:t>
            </w:r>
          </w:hyperlink>
        </w:p>
        <w:p>
          <w:pPr>
            <w:pStyle w:val="Contents1"/>
            <w:tabs>
              <w:tab w:val="clear" w:pos="9360"/>
              <w:tab w:val="right" w:pos="9638" w:leader="dot"/>
            </w:tabs>
            <w:rPr/>
          </w:pPr>
          <w:hyperlink w:anchor="__RefHeading___Toc14671_3154828084">
            <w:r>
              <w:rPr>
                <w:webHidden/>
                <w:rStyle w:val="IndexLink"/>
              </w:rPr>
              <w:t xml:space="preserve"> </w:t>
            </w:r>
            <w:r>
              <w:rPr>
                <w:rStyle w:val="IndexLink"/>
              </w:rPr>
              <w:t>7  Referências</w:t>
              <w:tab/>
              <w:t>8</w:t>
            </w:r>
          </w:hyperlink>
        </w:p>
        <w:p>
          <w:pPr>
            <w:pStyle w:val="Contents1"/>
            <w:tabs>
              <w:tab w:val="clear" w:pos="9360"/>
              <w:tab w:val="right" w:pos="9638" w:leader="dot"/>
            </w:tabs>
            <w:rPr/>
          </w:pPr>
          <w:hyperlink w:anchor="__RefHeading___Toc14673_3154828084">
            <w:r>
              <w:rPr>
                <w:webHidden/>
                <w:rStyle w:val="IndexLink"/>
              </w:rPr>
              <w:t xml:space="preserve"> </w:t>
            </w:r>
            <w:r>
              <w:rPr>
                <w:rStyle w:val="IndexLink"/>
              </w:rPr>
              <w:t>8  Apêndice</w:t>
              <w:tab/>
              <w:t>9</w:t>
            </w:r>
          </w:hyperlink>
        </w:p>
        <w:p>
          <w:pPr>
            <w:pStyle w:val="Contents2"/>
            <w:tabs>
              <w:tab w:val="clear" w:pos="9077"/>
              <w:tab w:val="right" w:pos="9638" w:leader="dot"/>
            </w:tabs>
            <w:rPr/>
          </w:pPr>
          <w:hyperlink w:anchor="__RefHeading___Toc14675_3154828084">
            <w:r>
              <w:rPr>
                <w:webHidden/>
                <w:rStyle w:val="IndexLink"/>
              </w:rPr>
              <w:t xml:space="preserve"> </w:t>
            </w:r>
            <w:r>
              <w:rPr>
                <w:rStyle w:val="IndexLink"/>
              </w:rPr>
              <w:t>8.1  Análise exploratória de dados</w:t>
              <w:tab/>
              <w:t>9</w:t>
            </w:r>
          </w:hyperlink>
        </w:p>
        <w:p>
          <w:pPr>
            <w:pStyle w:val="Contents2"/>
            <w:tabs>
              <w:tab w:val="clear" w:pos="9077"/>
              <w:tab w:val="right" w:pos="9638" w:leader="dot"/>
            </w:tabs>
            <w:rPr/>
          </w:pPr>
          <w:hyperlink w:anchor="__RefHeading___Toc14677_3154828084">
            <w:r>
              <w:rPr>
                <w:webHidden/>
                <w:rStyle w:val="IndexLink"/>
              </w:rPr>
              <w:t xml:space="preserve"> </w:t>
            </w:r>
            <w:r>
              <w:rPr>
                <w:rStyle w:val="IndexLink"/>
              </w:rPr>
              <w:t>8.2  Disponibilidade</w:t>
              <w:tab/>
              <w:t>9</w:t>
            </w:r>
          </w:hyperlink>
        </w:p>
        <w:p>
          <w:pPr>
            <w:pStyle w:val="Contents2"/>
            <w:tabs>
              <w:tab w:val="clear" w:pos="9077"/>
              <w:tab w:val="right" w:pos="9638" w:leader="dot"/>
            </w:tabs>
            <w:rPr/>
          </w:pPr>
          <w:hyperlink w:anchor="__RefHeading___Toc14679_3154828084">
            <w:r>
              <w:rPr>
                <w:webHidden/>
                <w:rStyle w:val="IndexLink"/>
              </w:rPr>
              <w:t xml:space="preserve"> </w:t>
            </w:r>
            <w:r>
              <w:rPr>
                <w:rStyle w:val="IndexLink"/>
              </w:rPr>
              <w:t>8.3  Dados utilizados</w:t>
              <w:tab/>
              <w:t>10</w:t>
            </w:r>
          </w:hyperlink>
          <w:r>
            <w:rPr>
              <w:rStyle w:val="IndexLink"/>
            </w:rPr>
            <w:fldChar w:fldCharType="end"/>
          </w:r>
        </w:p>
      </w:sdtContent>
    </w:sdt>
    <w:p>
      <w:pPr>
        <w:pStyle w:val="Normal"/>
        <w:rPr>
          <w:lang w:val="pt-BR"/>
        </w:rPr>
      </w:pPr>
      <w:r>
        <w:rPr>
          <w:lang w:val="pt-B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lang w:val="pt-BR"/>
        </w:rPr>
      </w:pPr>
      <w:r>
        <w:rPr>
          <w:lang w:val="pt-BR"/>
        </w:rPr>
      </w:r>
      <w:r>
        <w:br w:type="page"/>
      </w:r>
    </w:p>
    <w:p>
      <w:pPr>
        <w:pStyle w:val="Title"/>
        <w:rPr>
          <w:lang w:val="pt-BR"/>
        </w:rPr>
      </w:pPr>
      <w:r>
        <w:rPr>
          <w:lang w:val="pt-BR"/>
        </w:rPr>
        <w:t>Prognóstico de componentes hematológicos após ATQ bilateral simultânea em centro cirúrgico de referência</w:t>
      </w:r>
    </w:p>
    <w:p>
      <w:pPr>
        <w:pStyle w:val="TextBody"/>
        <w:rPr>
          <w:lang w:val="pt-BR"/>
        </w:rPr>
      </w:pPr>
      <w:r>
        <w:rPr>
          <w:b/>
          <w:bCs/>
          <w:lang w:val="pt-BR"/>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1"/>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Versão</w:t>
            </w:r>
          </w:p>
        </w:tc>
        <w:tc>
          <w:tcPr>
            <w:tcW w:w="601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01</w:t>
            </w:r>
          </w:p>
        </w:tc>
        <w:tc>
          <w:tcPr>
            <w:tcW w:w="601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Versão inicial</w:t>
            </w:r>
          </w:p>
        </w:tc>
      </w:tr>
    </w:tbl>
    <w:p>
      <w:pPr>
        <w:pStyle w:val="Normal"/>
        <w:rPr>
          <w:lang w:val="pt-BR"/>
        </w:rPr>
      </w:pPr>
      <w:r>
        <w:rPr>
          <w:lang w:val="pt-B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lang w:val="pt-BR"/>
        </w:rPr>
      </w:pPr>
      <w:bookmarkStart w:id="0" w:name="__RefHeading___Toc14637_3154828084"/>
      <w:bookmarkStart w:id="1" w:name="lista-de-abreviaturas"/>
      <w:bookmarkEnd w:id="0"/>
      <w:r>
        <w:rPr>
          <w:lang w:val="pt-BR"/>
        </w:rPr>
        <w:t>Lista de abreviaturas</w:t>
      </w:r>
    </w:p>
    <w:p>
      <w:pPr>
        <w:pStyle w:val="Compact"/>
        <w:numPr>
          <w:ilvl w:val="0"/>
          <w:numId w:val="2"/>
        </w:numPr>
        <w:rPr>
          <w:lang w:val="pt-BR"/>
        </w:rPr>
      </w:pPr>
      <w:r>
        <w:rPr>
          <w:lang w:val="pt-BR"/>
        </w:rPr>
        <w:t>CHA: Concentrado de hemácias</w:t>
      </w:r>
    </w:p>
    <w:p>
      <w:pPr>
        <w:pStyle w:val="Compact"/>
        <w:numPr>
          <w:ilvl w:val="0"/>
          <w:numId w:val="2"/>
        </w:numPr>
        <w:rPr>
          <w:lang w:val="pt-BR"/>
        </w:rPr>
      </w:pPr>
      <w:r>
        <w:rPr>
          <w:lang w:val="pt-BR"/>
        </w:rPr>
        <w:t>DP: desvio padrão</w:t>
      </w:r>
    </w:p>
    <w:p>
      <w:pPr>
        <w:pStyle w:val="Compact"/>
        <w:numPr>
          <w:ilvl w:val="0"/>
          <w:numId w:val="2"/>
        </w:numPr>
        <w:rPr>
          <w:lang w:val="pt-BR"/>
        </w:rPr>
      </w:pPr>
      <w:r>
        <w:rPr>
          <w:lang w:val="pt-BR"/>
        </w:rPr>
        <w:t>EVA: Escala visual analógica</w:t>
      </w:r>
    </w:p>
    <w:p>
      <w:pPr>
        <w:pStyle w:val="Compact"/>
        <w:numPr>
          <w:ilvl w:val="0"/>
          <w:numId w:val="2"/>
        </w:numPr>
        <w:rPr>
          <w:lang w:val="pt-BR"/>
        </w:rPr>
      </w:pPr>
      <w:r>
        <w:rPr>
          <w:lang w:val="pt-BR"/>
        </w:rPr>
        <w:t>HHS: Harris hip score</w:t>
      </w:r>
    </w:p>
    <w:p>
      <w:pPr>
        <w:pStyle w:val="Compact"/>
        <w:numPr>
          <w:ilvl w:val="0"/>
          <w:numId w:val="2"/>
        </w:numPr>
        <w:rPr>
          <w:lang w:val="pt-BR"/>
        </w:rPr>
      </w:pPr>
      <w:r>
        <w:rPr>
          <w:lang w:val="pt-BR"/>
        </w:rPr>
        <w:t>IC: intervalo de confiança</w:t>
      </w:r>
    </w:p>
    <w:p>
      <w:pPr>
        <w:pStyle w:val="Compact"/>
        <w:numPr>
          <w:ilvl w:val="0"/>
          <w:numId w:val="2"/>
        </w:numPr>
        <w:rPr>
          <w:lang w:val="pt-BR"/>
        </w:rPr>
      </w:pPr>
      <w:bookmarkStart w:id="2" w:name="lista-de-abreviaturas"/>
      <w:r>
        <w:rPr>
          <w:lang w:val="pt-BR"/>
        </w:rPr>
        <w:t>IMC: índice de massa corpórea</w:t>
      </w:r>
      <w:bookmarkEnd w:id="2"/>
    </w:p>
    <w:p>
      <w:pPr>
        <w:pStyle w:val="Heading1"/>
        <w:rPr>
          <w:lang w:val="pt-BR"/>
        </w:rPr>
      </w:pPr>
      <w:bookmarkStart w:id="3" w:name="__RefHeading___Toc14639_3154828084"/>
      <w:bookmarkStart w:id="4" w:name="contexto"/>
      <w:bookmarkEnd w:id="3"/>
      <w:r>
        <w:rPr>
          <w:lang w:val="pt-BR"/>
        </w:rPr>
        <w:t>Contexto</w:t>
      </w:r>
    </w:p>
    <w:p>
      <w:pPr>
        <w:pStyle w:val="Heading2"/>
        <w:rPr>
          <w:lang w:val="pt-BR"/>
        </w:rPr>
      </w:pPr>
      <w:bookmarkStart w:id="5" w:name="__RefHeading___Toc14641_3154828084"/>
      <w:bookmarkStart w:id="6" w:name="objetivos"/>
      <w:bookmarkEnd w:id="5"/>
      <w:r>
        <w:rPr>
          <w:lang w:val="pt-BR"/>
        </w:rPr>
        <w:t>Objetivos</w:t>
      </w:r>
    </w:p>
    <w:p>
      <w:pPr>
        <w:pStyle w:val="FirstParagraph"/>
        <w:rPr>
          <w:lang w:val="pt-BR"/>
        </w:rPr>
      </w:pPr>
      <w:bookmarkStart w:id="7" w:name="objetivos"/>
      <w:r>
        <w:rPr>
          <w:lang w:val="pt-BR"/>
        </w:rPr>
        <w:t>Avaliar a perda sanguínea, de componentes hematológicos e diferença em resultados funcionais em pacientes submetidos a artroplastia total do quadril bilateral simultânea, assim como as necessidades transfusionais nesses pacientes em três momentos pós-cirúrgicos.</w:t>
      </w:r>
      <w:bookmarkEnd w:id="7"/>
    </w:p>
    <w:p>
      <w:pPr>
        <w:pStyle w:val="Heading2"/>
        <w:rPr>
          <w:lang w:val="pt-BR"/>
        </w:rPr>
      </w:pPr>
      <w:bookmarkStart w:id="8" w:name="__RefHeading___Toc14643_3154828084"/>
      <w:bookmarkStart w:id="9" w:name="recepção-e-tratamento-dos-dados"/>
      <w:bookmarkEnd w:id="8"/>
      <w:r>
        <w:rPr>
          <w:lang w:val="pt-BR"/>
        </w:rPr>
        <w:t>Recepção e tratamento dos dados</w:t>
      </w:r>
    </w:p>
    <w:p>
      <w:pPr>
        <w:pStyle w:val="FirstParagraph"/>
        <w:rPr>
          <w:lang w:val="pt-BR"/>
        </w:rPr>
      </w:pPr>
      <w:r>
        <w:rPr>
          <w:lang w:val="pt-BR"/>
        </w:rPr>
        <w:t>A base de dados original possuía 44 variáveis coletadas de 23 observações. As variáveis incluíam diversas datas, altura, peso e resultados de exames de sangue.</w:t>
      </w:r>
    </w:p>
    <w:p>
      <w:pPr>
        <w:pStyle w:val="TextBody"/>
        <w:rPr>
          <w:lang w:val="pt-BR"/>
        </w:rPr>
      </w:pPr>
      <w:r>
        <w:rPr>
          <w:lang w:val="pt-BR"/>
        </w:rPr>
        <w:t xml:space="preserve">A idade foi calculada a partir da data de nascimento com precisão de calendário (considerando anos bissextos) relativa à data da cirurgia. O IMC foi calculado a partir a partir da altura e peso como </w:t>
      </w:r>
      <w:r>
        <w:rPr>
          <w:lang w:val="pt-BR"/>
        </w:rPr>
      </w:r>
      <m:oMath xmlns:m="http://schemas.openxmlformats.org/officeDocument/2006/math">
        <m:r>
          <w:rPr>
            <w:rFonts w:ascii="Cambria Math" w:hAnsi="Cambria Math"/>
          </w:rPr>
          <m:t xml:space="preserve">I</m:t>
        </m:r>
        <m:r>
          <w:rPr>
            <w:rFonts w:ascii="Cambria Math" w:hAnsi="Cambria Math"/>
          </w:rPr>
          <m:t xml:space="preserve">M</m:t>
        </m:r>
        <m:r>
          <w:rPr>
            <w:rFonts w:ascii="Cambria Math" w:hAnsi="Cambria Math"/>
          </w:rPr>
          <m:t xml:space="preserve">C</m:t>
        </m:r>
        <m:r>
          <w:rPr>
            <w:rFonts w:ascii="Cambria Math" w:hAnsi="Cambria Math"/>
          </w:rPr>
          <m:t xml:space="preserve">=</m:t>
        </m:r>
        <m:r>
          <w:rPr>
            <w:rFonts w:ascii="Cambria Math" w:hAnsi="Cambria Math"/>
          </w:rPr>
          <m:t xml:space="preserve">p</m:t>
        </m:r>
        <m:r>
          <w:rPr>
            <w:rFonts w:ascii="Cambria Math" w:hAnsi="Cambria Math"/>
          </w:rPr>
          <m:t xml:space="preserve">e</m:t>
        </m:r>
        <m:r>
          <w:rPr>
            <w:rFonts w:ascii="Cambria Math" w:hAnsi="Cambria Math"/>
          </w:rPr>
          <m:t xml:space="preserve">s</m:t>
        </m:r>
        <m:f>
          <m:fPr>
            <m:type m:val="lin"/>
          </m:fPr>
          <m:num>
            <m:r>
              <w:rPr>
                <w:rFonts w:ascii="Cambria Math" w:hAnsi="Cambria Math"/>
              </w:rPr>
              <m:t xml:space="preserve">o</m:t>
            </m:r>
          </m:num>
          <m:den>
            <m:r>
              <w:rPr>
                <w:rFonts w:ascii="Cambria Math" w:hAnsi="Cambria Math"/>
              </w:rPr>
              <m:t xml:space="preserve">a</m:t>
            </m:r>
          </m:den>
        </m:f>
        <m:r>
          <w:rPr>
            <w:rFonts w:ascii="Cambria Math" w:hAnsi="Cambria Math"/>
          </w:rPr>
          <m:t xml:space="preserve">l</m:t>
        </m:r>
        <m:r>
          <w:rPr>
            <w:rFonts w:ascii="Cambria Math" w:hAnsi="Cambria Math"/>
          </w:rPr>
          <m:t xml:space="preserve">t</m:t>
        </m:r>
        <m:r>
          <w:rPr>
            <w:rFonts w:ascii="Cambria Math" w:hAnsi="Cambria Math"/>
          </w:rPr>
          <m:t xml:space="preserve">u</m:t>
        </m:r>
        <m:r>
          <w:rPr>
            <w:rFonts w:ascii="Cambria Math" w:hAnsi="Cambria Math"/>
          </w:rPr>
          <m:t xml:space="preserve">r</m:t>
        </m:r>
        <m:sSup>
          <m:e>
            <m:r>
              <w:rPr>
                <w:rFonts w:ascii="Cambria Math" w:hAnsi="Cambria Math"/>
              </w:rPr>
              <m:t xml:space="preserve">a</m:t>
            </m:r>
          </m:e>
          <m:sup>
            <m:r>
              <w:rPr>
                <w:rFonts w:ascii="Cambria Math" w:hAnsi="Cambria Math"/>
              </w:rPr>
              <m:t xml:space="preserve">2</m:t>
            </m:r>
          </m:sup>
        </m:sSup>
      </m:oMath>
      <w:r>
        <w:rPr>
          <w:lang w:val="pt-BR"/>
        </w:rPr>
        <w:t xml:space="preserve"> kg/m².</w:t>
      </w:r>
    </w:p>
    <w:p>
      <w:pPr>
        <w:pStyle w:val="TextBody"/>
        <w:rPr>
          <w:lang w:val="pt-BR"/>
        </w:rPr>
      </w:pPr>
      <w:r>
        <w:rPr>
          <w:lang w:val="pt-BR"/>
        </w:rPr>
        <w:t>A volemia foi calculada seguindo as fórmulas:</w:t>
      </w:r>
    </w:p>
    <w:p>
      <w:pPr>
        <w:pStyle w:val="Compact"/>
        <w:numPr>
          <w:ilvl w:val="0"/>
          <w:numId w:val="6"/>
        </w:numPr>
        <w:rPr>
          <w:lang w:val="pt-BR"/>
        </w:rPr>
      </w:pPr>
      <w:r>
        <w:rPr>
          <w:lang w:val="pt-BR"/>
        </w:rPr>
      </w:r>
      <m:oMathPara xmlns:m="http://schemas.openxmlformats.org/officeDocument/2006/math">
        <m:oMathParaPr>
          <m:jc m:val="left"/>
        </m:oMathParaPr>
        <m:oMath>
          <m:sSub>
            <m:e>
              <m:r>
                <m:rPr>
                  <m:lit/>
                  <m:nor/>
                </m:rPr>
                <w:rPr>
                  <w:rFonts w:ascii="Cambria Math" w:hAnsi="Cambria Math"/>
                </w:rPr>
                <m:t xml:space="preserve">volemia</m:t>
              </m:r>
            </m:e>
            <m:sub>
              <m:r>
                <w:rPr>
                  <w:rFonts w:ascii="Cambria Math" w:hAnsi="Cambria Math"/>
                </w:rPr>
                <m:t xml:space="preserve">h</m:t>
              </m:r>
              <m:r>
                <w:rPr>
                  <w:rFonts w:ascii="Cambria Math" w:hAnsi="Cambria Math"/>
                </w:rPr>
                <m:t xml:space="preserve">o</m:t>
              </m:r>
              <m:r>
                <w:rPr>
                  <w:rFonts w:ascii="Cambria Math" w:hAnsi="Cambria Math"/>
                </w:rPr>
                <m:t xml:space="preserve">m</m:t>
              </m:r>
              <m:r>
                <w:rPr>
                  <w:rFonts w:ascii="Cambria Math" w:hAnsi="Cambria Math"/>
                </w:rPr>
                <m:t xml:space="preserve">e</m:t>
              </m:r>
              <m:r>
                <w:rPr>
                  <w:rFonts w:ascii="Cambria Math" w:hAnsi="Cambria Math"/>
                </w:rPr>
                <m:t xml:space="preserve">n</m:t>
              </m:r>
              <m:r>
                <w:rPr>
                  <w:rFonts w:ascii="Cambria Math" w:hAnsi="Cambria Math"/>
                </w:rPr>
                <m:t xml:space="preserve">s</m:t>
              </m:r>
            </m:sub>
          </m:sSub>
          <m:r>
            <w:rPr>
              <w:rFonts w:ascii="Cambria Math" w:hAnsi="Cambria Math"/>
            </w:rPr>
            <m:t xml:space="preserve">=</m:t>
          </m:r>
          <m:sSup>
            <m:e>
              <m:r>
                <m:rPr>
                  <m:lit/>
                  <m:nor/>
                </m:rPr>
                <w:rPr>
                  <w:rFonts w:ascii="Cambria Math" w:hAnsi="Cambria Math"/>
                </w:rPr>
                <m:t xml:space="preserve">altura</m:t>
              </m:r>
            </m:e>
            <m:sup>
              <m:r>
                <w:rPr>
                  <w:rFonts w:ascii="Cambria Math" w:hAnsi="Cambria Math"/>
                </w:rPr>
                <m:t xml:space="preserve">3</m:t>
              </m:r>
            </m:sup>
          </m:sSup>
          <m:r>
            <w:rPr>
              <w:rFonts w:ascii="Cambria Math" w:hAnsi="Cambria Math"/>
            </w:rPr>
            <m:t xml:space="preserve">∗</m:t>
          </m:r>
          <m:r>
            <w:rPr>
              <w:rFonts w:ascii="Cambria Math" w:hAnsi="Cambria Math"/>
            </w:rPr>
            <m:t xml:space="preserve">0.367</m:t>
          </m:r>
          <m:r>
            <w:rPr>
              <w:rFonts w:ascii="Cambria Math" w:hAnsi="Cambria Math"/>
            </w:rPr>
            <m:t xml:space="preserve">∗</m:t>
          </m:r>
          <m:r>
            <m:rPr>
              <m:lit/>
              <m:nor/>
            </m:rPr>
            <w:rPr>
              <w:rFonts w:ascii="Cambria Math" w:hAnsi="Cambria Math"/>
            </w:rPr>
            <m:t xml:space="preserve">peso</m:t>
          </m:r>
          <m:r>
            <w:rPr>
              <w:rFonts w:ascii="Cambria Math" w:hAnsi="Cambria Math"/>
            </w:rPr>
            <m:t xml:space="preserve">∗</m:t>
          </m:r>
          <m:r>
            <w:rPr>
              <w:rFonts w:ascii="Cambria Math" w:hAnsi="Cambria Math"/>
            </w:rPr>
            <m:t xml:space="preserve">0.32</m:t>
          </m:r>
          <m:r>
            <w:rPr>
              <w:rFonts w:ascii="Cambria Math" w:hAnsi="Cambria Math"/>
            </w:rPr>
            <m:t xml:space="preserve">+</m:t>
          </m:r>
          <m:r>
            <w:rPr>
              <w:rFonts w:ascii="Cambria Math" w:hAnsi="Cambria Math"/>
            </w:rPr>
            <m:t xml:space="preserve">0.604</m:t>
          </m:r>
        </m:oMath>
      </m:oMathPara>
    </w:p>
    <w:p>
      <w:pPr>
        <w:pStyle w:val="Compact"/>
        <w:numPr>
          <w:ilvl w:val="0"/>
          <w:numId w:val="7"/>
        </w:numPr>
        <w:rPr>
          <w:lang w:val="pt-BR"/>
        </w:rPr>
      </w:pPr>
      <w:r>
        <w:rPr>
          <w:lang w:val="pt-BR"/>
        </w:rPr>
      </w:r>
      <m:oMathPara xmlns:m="http://schemas.openxmlformats.org/officeDocument/2006/math">
        <m:oMathParaPr>
          <m:jc m:val="left"/>
        </m:oMathParaPr>
        <m:oMath>
          <m:sSub>
            <m:e>
              <m:r>
                <m:rPr>
                  <m:lit/>
                  <m:nor/>
                </m:rPr>
                <w:rPr>
                  <w:rFonts w:ascii="Cambria Math" w:hAnsi="Cambria Math"/>
                </w:rPr>
                <m:t xml:space="preserve">volemia</m:t>
              </m:r>
            </m:e>
            <m:sub>
              <m:r>
                <w:rPr>
                  <w:rFonts w:ascii="Cambria Math" w:hAnsi="Cambria Math"/>
                </w:rPr>
                <m:t xml:space="preserve">m</m:t>
              </m:r>
              <m:r>
                <w:rPr>
                  <w:rFonts w:ascii="Cambria Math" w:hAnsi="Cambria Math"/>
                </w:rPr>
                <m:t xml:space="preserve">u</m:t>
              </m:r>
              <m:r>
                <w:rPr>
                  <w:rFonts w:ascii="Cambria Math" w:hAnsi="Cambria Math"/>
                </w:rPr>
                <m:t xml:space="preserve">l</m:t>
              </m:r>
              <m:r>
                <w:rPr>
                  <w:rFonts w:ascii="Cambria Math" w:hAnsi="Cambria Math"/>
                </w:rPr>
                <m:t xml:space="preserve">h</m:t>
              </m:r>
              <m:r>
                <w:rPr>
                  <w:rFonts w:ascii="Cambria Math" w:hAnsi="Cambria Math"/>
                </w:rPr>
                <m:t xml:space="preserve">e</m:t>
              </m:r>
              <m:r>
                <w:rPr>
                  <w:rFonts w:ascii="Cambria Math" w:hAnsi="Cambria Math"/>
                </w:rPr>
                <m:t xml:space="preserve">r</m:t>
              </m:r>
              <m:r>
                <w:rPr>
                  <w:rFonts w:ascii="Cambria Math" w:hAnsi="Cambria Math"/>
                </w:rPr>
                <m:t xml:space="preserve">e</m:t>
              </m:r>
              <m:r>
                <w:rPr>
                  <w:rFonts w:ascii="Cambria Math" w:hAnsi="Cambria Math"/>
                </w:rPr>
                <m:t xml:space="preserve">s</m:t>
              </m:r>
            </m:sub>
          </m:sSub>
          <m:r>
            <w:rPr>
              <w:rFonts w:ascii="Cambria Math" w:hAnsi="Cambria Math"/>
            </w:rPr>
            <m:t xml:space="preserve">=</m:t>
          </m:r>
          <m:sSup>
            <m:e>
              <m:r>
                <m:rPr>
                  <m:lit/>
                  <m:nor/>
                </m:rPr>
                <w:rPr>
                  <w:rFonts w:ascii="Cambria Math" w:hAnsi="Cambria Math"/>
                </w:rPr>
                <m:t xml:space="preserve">altura</m:t>
              </m:r>
            </m:e>
            <m:sup>
              <m:r>
                <w:rPr>
                  <w:rFonts w:ascii="Cambria Math" w:hAnsi="Cambria Math"/>
                </w:rPr>
                <m:t xml:space="preserve">3</m:t>
              </m:r>
            </m:sup>
          </m:sSup>
          <m:r>
            <w:rPr>
              <w:rFonts w:ascii="Cambria Math" w:hAnsi="Cambria Math"/>
            </w:rPr>
            <m:t xml:space="preserve">∗</m:t>
          </m:r>
          <m:r>
            <w:rPr>
              <w:rFonts w:ascii="Cambria Math" w:hAnsi="Cambria Math"/>
            </w:rPr>
            <m:t xml:space="preserve">0.356</m:t>
          </m:r>
          <m:r>
            <w:rPr>
              <w:rFonts w:ascii="Cambria Math" w:hAnsi="Cambria Math"/>
            </w:rPr>
            <m:t xml:space="preserve">∗</m:t>
          </m:r>
          <m:r>
            <m:rPr>
              <m:lit/>
              <m:nor/>
            </m:rPr>
            <w:rPr>
              <w:rFonts w:ascii="Cambria Math" w:hAnsi="Cambria Math"/>
            </w:rPr>
            <m:t xml:space="preserve">peso</m:t>
          </m:r>
          <m:r>
            <w:rPr>
              <w:rFonts w:ascii="Cambria Math" w:hAnsi="Cambria Math"/>
            </w:rPr>
            <m:t xml:space="preserve">∗</m:t>
          </m:r>
          <m:r>
            <w:rPr>
              <w:rFonts w:ascii="Cambria Math" w:hAnsi="Cambria Math"/>
            </w:rPr>
            <m:t xml:space="preserve">0.33</m:t>
          </m:r>
          <m:r>
            <w:rPr>
              <w:rFonts w:ascii="Cambria Math" w:hAnsi="Cambria Math"/>
            </w:rPr>
            <m:t xml:space="preserve">+</m:t>
          </m:r>
          <m:r>
            <w:rPr>
              <w:rFonts w:ascii="Cambria Math" w:hAnsi="Cambria Math"/>
            </w:rPr>
            <m:t xml:space="preserve">0.183</m:t>
          </m:r>
        </m:oMath>
      </m:oMathPara>
    </w:p>
    <w:p>
      <w:pPr>
        <w:pStyle w:val="FirstParagraph"/>
        <w:rPr>
          <w:lang w:val="pt-BR"/>
        </w:rPr>
      </w:pPr>
      <w:r>
        <w:rPr>
          <w:lang w:val="pt-BR"/>
        </w:rPr>
        <w:t>A perda de sangue e a perda de hemoglobina estimadas foram calculadas seguindo as fórmulas:</w:t>
      </w:r>
    </w:p>
    <w:p>
      <w:pPr>
        <w:pStyle w:val="Compact"/>
        <w:numPr>
          <w:ilvl w:val="0"/>
          <w:numId w:val="8"/>
        </w:numPr>
        <w:rPr>
          <w:lang w:val="pt-BR"/>
        </w:rPr>
      </w:pPr>
      <w:r>
        <w:rPr>
          <w:lang w:val="pt-BR"/>
        </w:rPr>
      </w:r>
      <m:oMathPara xmlns:m="http://schemas.openxmlformats.org/officeDocument/2006/math">
        <m:oMathParaPr>
          <m:jc m:val="left"/>
        </m:oMathParaPr>
        <m:oMath>
          <m:sSub>
            <m:e>
              <m:r>
                <m:rPr>
                  <m:lit/>
                  <m:nor/>
                </m:rPr>
                <w:rPr>
                  <w:rFonts w:ascii="Cambria Math" w:hAnsi="Cambria Math"/>
                </w:rPr>
                <m:t xml:space="preserve">perda de hemoglobina</m:t>
              </m:r>
            </m:e>
            <m:sub>
              <m:r>
                <w:rPr>
                  <w:rFonts w:ascii="Cambria Math" w:hAnsi="Cambria Math"/>
                </w:rPr>
                <m:t xml:space="preserve">t</m:t>
              </m:r>
            </m:sub>
          </m:sSub>
          <m:r>
            <w:rPr>
              <w:rFonts w:ascii="Cambria Math" w:hAnsi="Cambria Math"/>
            </w:rPr>
            <m:t xml:space="preserve">=</m:t>
          </m:r>
          <m:f>
            <m:fPr>
              <m:type m:val="lin"/>
            </m:fPr>
            <m:num>
              <m:r>
                <m:rPr>
                  <m:lit/>
                  <m:nor/>
                </m:rPr>
                <w:rPr>
                  <w:rFonts w:ascii="Cambria Math" w:hAnsi="Cambria Math"/>
                </w:rPr>
                <m:t xml:space="preserve">volemia</m:t>
              </m:r>
              <m:r>
                <w:rPr>
                  <w:rFonts w:ascii="Cambria Math" w:hAnsi="Cambria Math"/>
                </w:rPr>
                <m:t xml:space="preserve">∗</m:t>
              </m:r>
              <m:sSub>
                <m:e>
                  <m:r>
                    <m:rPr>
                      <m:lit/>
                      <m:nor/>
                    </m:rPr>
                    <w:rPr>
                      <w:rFonts w:ascii="Cambria Math" w:hAnsi="Cambria Math"/>
                    </w:rPr>
                    <m:t xml:space="preserve">hemoglobina</m:t>
                  </m:r>
                </m:e>
                <m:sub>
                  <m:r>
                    <w:rPr>
                      <w:rFonts w:ascii="Cambria Math" w:hAnsi="Cambria Math"/>
                    </w:rPr>
                    <m:t xml:space="preserve">t</m:t>
                  </m:r>
                </m:sub>
              </m:sSub>
            </m:num>
            <m:den>
              <m:sSub>
                <m:e>
                  <m:r>
                    <m:rPr>
                      <m:lit/>
                      <m:nor/>
                    </m:rPr>
                    <w:rPr>
                      <w:rFonts w:ascii="Cambria Math" w:hAnsi="Cambria Math"/>
                    </w:rPr>
                    <m:t xml:space="preserve">hemoglobina</m:t>
                  </m:r>
                </m:e>
                <m:sub>
                  <m:r>
                    <w:rPr>
                      <w:rFonts w:ascii="Cambria Math" w:hAnsi="Cambria Math"/>
                    </w:rPr>
                    <m:t xml:space="preserve">p</m:t>
                  </m:r>
                  <m:r>
                    <w:rPr>
                      <w:rFonts w:ascii="Cambria Math" w:hAnsi="Cambria Math"/>
                    </w:rPr>
                    <m:t xml:space="preserve">r</m:t>
                  </m:r>
                  <m:r>
                    <w:rPr>
                      <w:rFonts w:ascii="Cambria Math" w:hAnsi="Cambria Math"/>
                    </w:rPr>
                    <m:t xml:space="preserve">é</m:t>
                  </m:r>
                </m:sub>
              </m:sSub>
            </m:den>
          </m:f>
        </m:oMath>
      </m:oMathPara>
    </w:p>
    <w:p>
      <w:pPr>
        <w:pStyle w:val="Compact"/>
        <w:numPr>
          <w:ilvl w:val="0"/>
          <w:numId w:val="9"/>
        </w:numPr>
        <w:rPr>
          <w:lang w:val="pt-BR"/>
        </w:rPr>
      </w:pPr>
      <w:r>
        <w:rPr>
          <w:lang w:val="pt-BR"/>
        </w:rPr>
      </w:r>
      <m:oMathPara xmlns:m="http://schemas.openxmlformats.org/officeDocument/2006/math">
        <m:oMathParaPr>
          <m:jc m:val="left"/>
        </m:oMathParaPr>
        <m:oMath>
          <m:sSub>
            <m:e>
              <m:r>
                <m:rPr>
                  <m:lit/>
                  <m:nor/>
                </m:rPr>
                <w:rPr>
                  <w:rFonts w:ascii="Cambria Math" w:hAnsi="Cambria Math"/>
                </w:rPr>
                <m:t xml:space="preserve">perda de sangue</m:t>
              </m:r>
            </m:e>
            <m:sub>
              <m:r>
                <w:rPr>
                  <w:rFonts w:ascii="Cambria Math" w:hAnsi="Cambria Math"/>
                </w:rPr>
                <m:t xml:space="preserve">t</m:t>
              </m:r>
            </m:sub>
          </m:sSub>
          <m:r>
            <w:rPr>
              <w:rFonts w:ascii="Cambria Math" w:hAnsi="Cambria Math"/>
            </w:rPr>
            <m:t xml:space="preserve">=</m:t>
          </m:r>
          <m:r>
            <m:rPr>
              <m:lit/>
              <m:nor/>
            </m:rPr>
            <w:rPr>
              <w:rFonts w:ascii="Cambria Math" w:hAnsi="Cambria Math"/>
            </w:rPr>
            <m:t xml:space="preserve">volemia</m:t>
          </m:r>
          <m:r>
            <w:rPr>
              <w:rFonts w:ascii="Cambria Math" w:hAnsi="Cambria Math"/>
            </w:rPr>
            <m:t xml:space="preserve">∗</m:t>
          </m:r>
          <m:d>
            <m:dPr>
              <m:begChr m:val="("/>
              <m:endChr m:val=")"/>
            </m:dPr>
            <m:e>
              <m:sSub>
                <m:e>
                  <m:r>
                    <m:rPr>
                      <m:lit/>
                      <m:nor/>
                    </m:rPr>
                    <w:rPr>
                      <w:rFonts w:ascii="Cambria Math" w:hAnsi="Cambria Math"/>
                    </w:rPr>
                    <m:t xml:space="preserve">hemoglobina</m:t>
                  </m:r>
                </m:e>
                <m:sub>
                  <m:r>
                    <w:rPr>
                      <w:rFonts w:ascii="Cambria Math" w:hAnsi="Cambria Math"/>
                    </w:rPr>
                    <m:t xml:space="preserve">p</m:t>
                  </m:r>
                  <m:r>
                    <w:rPr>
                      <w:rFonts w:ascii="Cambria Math" w:hAnsi="Cambria Math"/>
                    </w:rPr>
                    <m:t xml:space="preserve">r</m:t>
                  </m:r>
                  <m:r>
                    <w:rPr>
                      <w:rFonts w:ascii="Cambria Math" w:hAnsi="Cambria Math"/>
                    </w:rPr>
                    <m:t xml:space="preserve">é</m:t>
                  </m:r>
                </m:sub>
              </m:sSub>
              <m:r>
                <w:rPr>
                  <w:rFonts w:ascii="Cambria Math" w:hAnsi="Cambria Math"/>
                </w:rPr>
                <m:t xml:space="preserve">−</m:t>
              </m:r>
              <m:sSub>
                <m:e>
                  <m:r>
                    <m:rPr>
                      <m:lit/>
                      <m:nor/>
                    </m:rPr>
                    <w:rPr>
                      <w:rFonts w:ascii="Cambria Math" w:hAnsi="Cambria Math"/>
                    </w:rPr>
                    <m:t xml:space="preserve">perda de hemoglobina</m:t>
                  </m:r>
                </m:e>
                <m:sub>
                  <m:r>
                    <w:rPr>
                      <w:rFonts w:ascii="Cambria Math" w:hAnsi="Cambria Math"/>
                    </w:rPr>
                    <m:t xml:space="preserve">t</m:t>
                  </m:r>
                </m:sub>
              </m:sSub>
            </m:e>
          </m:d>
          <m:r>
            <w:rPr>
              <w:rFonts w:ascii="Cambria Math" w:hAnsi="Cambria Math"/>
            </w:rPr>
            <m:t xml:space="preserve">+</m:t>
          </m:r>
          <m:sSub>
            <m:e>
              <m:r>
                <m:rPr>
                  <m:lit/>
                  <m:nor/>
                </m:rPr>
                <w:rPr>
                  <w:rFonts w:ascii="Cambria Math" w:hAnsi="Cambria Math"/>
                </w:rPr>
                <m:t xml:space="preserve">volume infundido</m:t>
              </m:r>
            </m:e>
            <m:sub>
              <m:r>
                <w:rPr>
                  <w:rFonts w:ascii="Cambria Math" w:hAnsi="Cambria Math"/>
                </w:rPr>
                <m:t xml:space="preserve">t</m:t>
              </m:r>
            </m:sub>
          </m:sSub>
        </m:oMath>
      </m:oMathPara>
    </w:p>
    <w:p>
      <w:pPr>
        <w:pStyle w:val="FirstParagraph"/>
        <w:rPr>
          <w:lang w:val="pt-BR"/>
        </w:rPr>
      </w:pPr>
      <w:r>
        <w:rPr>
          <w:lang w:val="pt-BR"/>
        </w:rPr>
        <w:t>Após os cálculos as variáveis que não seriam mais usadas foram descartadas. A tabela de dados bruta foi dividida em duas tabelas: uma para a descrição do perfil epidemiológico dos participantes do estudo e a tabela analítica para a análise das alterações nos componentes hematológicos e funcionais.</w:t>
      </w:r>
    </w:p>
    <w:p>
      <w:pPr>
        <w:pStyle w:val="TextBody"/>
        <w:rPr>
          <w:lang w:val="pt-BR"/>
        </w:rPr>
      </w:pPr>
      <w:bookmarkStart w:id="10" w:name="contexto"/>
      <w:bookmarkStart w:id="11" w:name="recepção-e-tratamento-dos-dados"/>
      <w:r>
        <w:rPr>
          <w:lang w:val="pt-BR"/>
        </w:rPr>
        <w:t>Depois dos procedimentos de limpeza e seleção 21 variáveis foram incluídas na análise com 23 observações.</w:t>
      </w:r>
      <w:bookmarkEnd w:id="10"/>
      <w:bookmarkEnd w:id="11"/>
    </w:p>
    <w:p>
      <w:pPr>
        <w:pStyle w:val="Heading1"/>
        <w:rPr>
          <w:lang w:val="pt-BR"/>
        </w:rPr>
      </w:pPr>
      <w:bookmarkStart w:id="12" w:name="__RefHeading___Toc14645_3154828084"/>
      <w:bookmarkStart w:id="13" w:name="metodologia"/>
      <w:bookmarkEnd w:id="12"/>
      <w:r>
        <w:rPr>
          <w:lang w:val="pt-BR"/>
        </w:rPr>
        <w:t>Metodologia</w:t>
      </w:r>
    </w:p>
    <w:p>
      <w:pPr>
        <w:pStyle w:val="Heading2"/>
        <w:rPr>
          <w:lang w:val="pt-BR"/>
        </w:rPr>
      </w:pPr>
      <w:bookmarkStart w:id="14" w:name="__RefHeading___Toc14647_3154828084"/>
      <w:bookmarkStart w:id="15" w:name="parâmetros-do-estudo"/>
      <w:bookmarkEnd w:id="14"/>
      <w:r>
        <w:rPr>
          <w:lang w:val="pt-BR"/>
        </w:rPr>
        <w:t>Parâmetros do estudo</w:t>
      </w:r>
    </w:p>
    <w:p>
      <w:pPr>
        <w:pStyle w:val="Heading3"/>
        <w:rPr>
          <w:lang w:val="pt-BR"/>
        </w:rPr>
      </w:pPr>
      <w:bookmarkStart w:id="16" w:name="__RefHeading___Toc14649_3154828084"/>
      <w:bookmarkStart w:id="17" w:name="desenho-do-estudo"/>
      <w:bookmarkEnd w:id="16"/>
      <w:r>
        <w:rPr>
          <w:lang w:val="pt-BR"/>
        </w:rPr>
        <w:t>Desenho do estudo</w:t>
      </w:r>
    </w:p>
    <w:p>
      <w:pPr>
        <w:pStyle w:val="FirstParagraph"/>
        <w:rPr>
          <w:lang w:val="pt-BR"/>
        </w:rPr>
      </w:pPr>
      <w:bookmarkStart w:id="18" w:name="desenho-do-estudo"/>
      <w:r>
        <w:rPr>
          <w:lang w:val="pt-BR"/>
        </w:rPr>
        <w:t>Estudo longitudinal do tipo coorte prospectiva, de braço único.</w:t>
      </w:r>
      <w:bookmarkEnd w:id="18"/>
    </w:p>
    <w:p>
      <w:pPr>
        <w:pStyle w:val="Heading3"/>
        <w:rPr>
          <w:lang w:val="pt-BR"/>
        </w:rPr>
      </w:pPr>
      <w:bookmarkStart w:id="19" w:name="__RefHeading___Toc14651_3154828084"/>
      <w:bookmarkStart w:id="20" w:name="critérios-de-inclusão-e-exclusão"/>
      <w:bookmarkEnd w:id="19"/>
      <w:r>
        <w:rPr>
          <w:lang w:val="pt-BR"/>
        </w:rPr>
        <w:t>Critérios de inclusão e exclusão</w:t>
      </w:r>
    </w:p>
    <w:p>
      <w:pPr>
        <w:pStyle w:val="FirstParagraph"/>
        <w:rPr>
          <w:lang w:val="pt-BR"/>
        </w:rPr>
      </w:pPr>
      <w:bookmarkStart w:id="21" w:name="critérios-de-inclusão-e-exclusão"/>
      <w:r>
        <w:rPr>
          <w:lang w:val="pt-BR"/>
        </w:rPr>
        <w:t>N/A</w:t>
      </w:r>
      <w:bookmarkEnd w:id="21"/>
    </w:p>
    <w:p>
      <w:pPr>
        <w:pStyle w:val="Heading3"/>
        <w:rPr>
          <w:lang w:val="pt-BR"/>
        </w:rPr>
      </w:pPr>
      <w:bookmarkStart w:id="22" w:name="__RefHeading___Toc14653_3154828084"/>
      <w:bookmarkStart w:id="23" w:name="exposições"/>
      <w:bookmarkEnd w:id="22"/>
      <w:r>
        <w:rPr>
          <w:lang w:val="pt-BR"/>
        </w:rPr>
        <w:t>Exposições</w:t>
      </w:r>
    </w:p>
    <w:p>
      <w:pPr>
        <w:pStyle w:val="FirstParagraph"/>
        <w:rPr>
          <w:lang w:val="pt-BR"/>
        </w:rPr>
      </w:pPr>
      <w:bookmarkStart w:id="24" w:name="exposições"/>
      <w:r>
        <w:rPr>
          <w:lang w:val="pt-BR"/>
        </w:rPr>
        <w:t>N/A</w:t>
      </w:r>
      <w:bookmarkEnd w:id="24"/>
    </w:p>
    <w:p>
      <w:pPr>
        <w:pStyle w:val="Heading3"/>
        <w:rPr>
          <w:lang w:val="pt-BR"/>
        </w:rPr>
      </w:pPr>
      <w:bookmarkStart w:id="25" w:name="__RefHeading___Toc14655_3154828084"/>
      <w:bookmarkStart w:id="26" w:name="desfechos"/>
      <w:bookmarkEnd w:id="25"/>
      <w:r>
        <w:rPr>
          <w:lang w:val="pt-BR"/>
        </w:rPr>
        <w:t>Desfechos</w:t>
      </w:r>
    </w:p>
    <w:p>
      <w:pPr>
        <w:pStyle w:val="FirstParagraph"/>
        <w:rPr>
          <w:lang w:val="pt-BR"/>
        </w:rPr>
      </w:pPr>
      <w:bookmarkStart w:id="27" w:name="desfechos"/>
      <w:r>
        <w:rPr>
          <w:lang w:val="pt-BR"/>
        </w:rPr>
        <w:t>Perda de componentes hematológicos e de sangue em 24 e 48 horas após a cirurgua, e mudança do HHS após seis semanas em relação ao momento pré-operatório.</w:t>
      </w:r>
      <w:bookmarkEnd w:id="27"/>
    </w:p>
    <w:p>
      <w:pPr>
        <w:pStyle w:val="Heading3"/>
        <w:rPr>
          <w:lang w:val="pt-BR"/>
        </w:rPr>
      </w:pPr>
      <w:bookmarkStart w:id="28" w:name="__RefHeading___Toc14657_3154828084"/>
      <w:bookmarkStart w:id="29" w:name="covariáveis"/>
      <w:bookmarkEnd w:id="28"/>
      <w:r>
        <w:rPr>
          <w:lang w:val="pt-BR"/>
        </w:rPr>
        <w:t>Covariáveis</w:t>
      </w:r>
    </w:p>
    <w:p>
      <w:pPr>
        <w:pStyle w:val="FirstParagraph"/>
        <w:rPr>
          <w:lang w:val="pt-BR"/>
        </w:rPr>
      </w:pPr>
      <w:bookmarkStart w:id="30" w:name="parâmetros-do-estudo"/>
      <w:bookmarkStart w:id="31" w:name="covariáveis"/>
      <w:r>
        <w:rPr>
          <w:lang w:val="pt-BR"/>
        </w:rPr>
        <w:t>N/A</w:t>
      </w:r>
      <w:bookmarkEnd w:id="30"/>
      <w:bookmarkEnd w:id="31"/>
    </w:p>
    <w:p>
      <w:pPr>
        <w:pStyle w:val="Heading2"/>
        <w:rPr>
          <w:lang w:val="pt-BR"/>
        </w:rPr>
      </w:pPr>
      <w:bookmarkStart w:id="32" w:name="__RefHeading___Toc14659_3154828084"/>
      <w:bookmarkStart w:id="33" w:name="análises-estatísticas"/>
      <w:bookmarkEnd w:id="32"/>
      <w:r>
        <w:rPr>
          <w:lang w:val="pt-BR"/>
        </w:rPr>
        <w:t>Análises Estatísticas</w:t>
      </w:r>
    </w:p>
    <w:p>
      <w:pPr>
        <w:pStyle w:val="FirstParagraph"/>
        <w:rPr>
          <w:lang w:val="pt-BR"/>
        </w:rPr>
      </w:pPr>
      <w:r>
        <w:rPr>
          <w:lang w:val="pt-BR"/>
        </w:rPr>
        <w:t>O perfil epidemiológico dos participantes do estudo será descrito na baseline. As características demográficas (sexo, idade e IMC) e clínicas  serão descritas como média (DP)  ou frequência e proporção (%), conforme apropriado. As distribuições das características dos participantes serão resumidas em tabelas e visualizadas em gráficos exploratórios Todas as comparações entre os grupos serão avaliadas como análises univariadas. Variáveis contínuas serão comparadas entre os períodos com o  teste t pareado. Todas as avaliações serão realizadas como análises de casos completos. Todas as análises serão realizadas ao nível de significância de 5%. Todos os testes de hipóteses e intervalos de confiança calculados serão bicaudais.</w:t>
      </w:r>
    </w:p>
    <w:p>
      <w:pPr>
        <w:pStyle w:val="TextBody"/>
        <w:rPr/>
      </w:pPr>
      <w:r>
        <w:rPr>
          <w:lang w:val="pt-BR"/>
        </w:rPr>
        <w:t xml:space="preserve">Esta análise foi realizada utilizando-se o software </w:t>
      </w:r>
      <w:r>
        <w:rPr>
          <w:rStyle w:val="VerbatimChar"/>
          <w:lang w:val="pt-BR"/>
        </w:rPr>
        <w:t>R</w:t>
      </w:r>
      <w:r>
        <w:rPr>
          <w:lang w:val="pt-BR"/>
        </w:rPr>
        <w:t xml:space="preserve"> versão 4.1.3.</w:t>
      </w:r>
      <w:bookmarkEnd w:id="13"/>
      <w:bookmarkEnd w:id="33"/>
    </w:p>
    <w:p>
      <w:pPr>
        <w:pStyle w:val="Heading1"/>
        <w:rPr>
          <w:lang w:val="pt-BR"/>
        </w:rPr>
      </w:pPr>
      <w:bookmarkStart w:id="34" w:name="__RefHeading___Toc14661_3154828084"/>
      <w:bookmarkStart w:id="35" w:name="resultados"/>
      <w:bookmarkEnd w:id="34"/>
      <w:bookmarkEnd w:id="35"/>
      <w:r>
        <w:rPr>
          <w:lang w:val="pt-BR"/>
        </w:rPr>
        <w:t>Resultados</w:t>
      </w:r>
    </w:p>
    <w:p>
      <w:pPr>
        <w:pStyle w:val="Heading2"/>
        <w:rPr>
          <w:lang w:val="pt-BR"/>
        </w:rPr>
      </w:pPr>
      <w:bookmarkStart w:id="36" w:name="__RefHeading___Toc14663_3154828084"/>
      <w:bookmarkStart w:id="37" w:name="população-do-estudo-e-acompanhamento"/>
      <w:bookmarkEnd w:id="36"/>
      <w:r>
        <w:rPr>
          <w:lang w:val="pt-BR"/>
        </w:rPr>
        <w:t>População do estudo e acompanhamento</w:t>
      </w:r>
    </w:p>
    <w:p>
      <w:pPr>
        <w:pStyle w:val="FirstParagraph"/>
        <w:rPr>
          <w:lang w:val="pt-BR"/>
        </w:rPr>
      </w:pPr>
      <w:r>
        <w:rPr>
          <w:lang w:val="pt-BR"/>
        </w:rPr>
        <w:t>Ao todo foram incluídos 23 participantes no estudo dos quais 15 (65%) eram homens. Os participantes tinham idade média (DP) 46 (11) anos, com distribuição entre 24 e 62 anos. A tabela 1 exibe as características clínicas e epidemiológicas dos participantes.</w:t>
      </w:r>
    </w:p>
    <w:p>
      <w:pPr>
        <w:pStyle w:val="TableCaption"/>
        <w:rPr>
          <w:lang w:val="pt-BR"/>
        </w:rPr>
      </w:pPr>
      <w:r>
        <w:rPr>
          <w:b/>
          <w:bCs/>
          <w:lang w:val="pt-BR"/>
        </w:rPr>
        <w:t>Tabela 1</w:t>
      </w:r>
      <w:r>
        <w:rPr>
          <w:lang w:val="pt-BR"/>
        </w:rPr>
        <w:t xml:space="preserve"> Características epidemiológicas e clínicas dos participantes do estudo.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7621"/>
        <w:gridCol w:w="2015"/>
      </w:tblGrid>
      <w:tr>
        <w:trPr/>
        <w:tc>
          <w:tcPr>
            <w:tcW w:w="76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Características</w:t>
            </w:r>
          </w:p>
        </w:tc>
        <w:tc>
          <w:tcPr>
            <w:tcW w:w="2015"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N = 23</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Sexo, n (%)</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H</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15 (65%)</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M</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8 (35%)</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Idade (anos), Média (Desvio Padrão)</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46 (11)</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IMC (kg/m²), Média (Desvio Padrão)</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28.0 (4.0)</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Volemia (L), Média (Desvio Padrão)</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49 (14)</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Hemoglobina pré-op, Média (Desvio Padrão)</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14.04 (1.54)</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Hematócritos pré-op, Média (Desvio Padrão)</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41.7 (4.6)</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EVA pré-op, n (%)</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6</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3 (13%)</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7</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12 (52%)</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8</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7 (30%)</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9</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 (4.3%)</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HHS, Média (Desvio Padrão)</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30.0 (4.1)</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CHA, n (%)</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 (4.3%)</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Primeiro lado operado, n (%)</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D</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12 (52%)</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E</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11 (48%)</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Volume transfundido, n (%)</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1000</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2 (8.7%)</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1500</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6 (26%)</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2000</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9 (39%)</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2500</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5 (22%)</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3000</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 (4.3%)</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Tempo até alta (dias), n (%)</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2</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4 (17%)</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3</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16 (70%)</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4</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2 (8.7%)</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10</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 (4.3%)</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Perda de hemoglobina 24h, Média (Desvio Padrão)</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1,651 (408)</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Perda sanguínea 24h, Média (Desvio Padrão)</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5,702 (2,075)</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Perda de hemoglobina 48h, Média (Desvio Padrão)</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1,454 (332)</w:t>
            </w:r>
          </w:p>
        </w:tc>
      </w:tr>
      <w:tr>
        <w:trPr/>
        <w:tc>
          <w:tcPr>
            <w:tcW w:w="76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bCs/>
                <w:i w:val="false"/>
                <w:iCs w:val="false"/>
                <w:strike w:val="false"/>
                <w:dstrike w:val="false"/>
                <w:outline w:val="false"/>
                <w:shadow w:val="false"/>
                <w:color w:val="000000"/>
                <w:sz w:val="22"/>
                <w:szCs w:val="22"/>
                <w:u w:val="none"/>
                <w:lang w:val="pt-BR"/>
              </w:rPr>
              <w:t>Perda sanguínea 48h, Média (Desvio Padrão)</w:t>
            </w:r>
          </w:p>
        </w:tc>
        <w:tc>
          <w:tcPr>
            <w:tcW w:w="201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rFonts w:ascii="Ubuntu" w:hAnsi="Ubuntu"/>
                <w:b w:val="false"/>
                <w:bCs w:val="false"/>
                <w:i w:val="false"/>
                <w:iCs w:val="false"/>
                <w:strike w:val="false"/>
                <w:dstrike w:val="false"/>
                <w:outline w:val="false"/>
                <w:shadow w:val="false"/>
                <w:color w:val="000000"/>
                <w:sz w:val="22"/>
                <w:szCs w:val="22"/>
                <w:u w:val="none"/>
                <w:lang w:val="pt-BR"/>
              </w:rPr>
              <w:t>5,055 (1,774)</w:t>
            </w:r>
          </w:p>
        </w:tc>
      </w:tr>
    </w:tbl>
    <w:p>
      <w:pPr>
        <w:pStyle w:val="TextBody"/>
        <w:rPr>
          <w:lang w:val="pt-BR"/>
        </w:rPr>
      </w:pPr>
      <w:r>
        <w:rPr>
          <w:lang w:val="pt-BR"/>
        </w:rPr>
        <w:t>Entre 24h e 48h após a cirurgia boa parte dos participantes apresentou redução tanto na perda de hemoglobina como na perda de sangue (Tabela 1, Figura 1). Após 24h os participantes apresentaram perda de hemoglobina em torno de 1.651 em média, e após 48h esta perda se reduziu para 1.454. A perda de sangue média um dia após a cirurgia foi de 5.702, reduzida para 5.055 no segundo dia.</w:t>
      </w:r>
    </w:p>
    <w:p>
      <w:pPr>
        <w:pStyle w:val="CaptionedFigure"/>
        <w:rPr>
          <w:lang w:val="pt-BR"/>
        </w:rPr>
      </w:pPr>
      <w:r>
        <w:rPr>
          <w:lang w:val="pt-BR"/>
        </w:rPr>
        <w:drawing>
          <wp:inline distT="0" distB="0" distL="0" distR="0">
            <wp:extent cx="5777230" cy="4333240"/>
            <wp:effectExtent l="0" t="0" r="0" b="0"/>
            <wp:docPr id="3" name="Picture" descr="Figura 1 Prognóstico de perda de hemoglobina (HB) e perda de sangue dos participantes nos períodos de observ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a 1 Prognóstico de perda de hemoglobina (HB) e perda de sangue dos participantes nos períodos de observação."/>
                    <pic:cNvPicPr>
                      <a:picLocks noChangeAspect="1" noChangeArrowheads="1"/>
                    </pic:cNvPicPr>
                  </pic:nvPicPr>
                  <pic:blipFill>
                    <a:blip r:embed="rId2"/>
                    <a:stretch>
                      <a:fillRect/>
                    </a:stretch>
                  </pic:blipFill>
                  <pic:spPr bwMode="auto">
                    <a:xfrm>
                      <a:off x="0" y="0"/>
                      <a:ext cx="5777230" cy="4333240"/>
                    </a:xfrm>
                    <a:prstGeom prst="rect">
                      <a:avLst/>
                    </a:prstGeom>
                  </pic:spPr>
                </pic:pic>
              </a:graphicData>
            </a:graphic>
          </wp:inline>
        </w:drawing>
      </w:r>
    </w:p>
    <w:p>
      <w:pPr>
        <w:pStyle w:val="ImageCaption"/>
        <w:rPr>
          <w:lang w:val="pt-BR"/>
        </w:rPr>
      </w:pPr>
      <w:r>
        <w:rPr>
          <w:b/>
          <w:bCs/>
          <w:lang w:val="pt-BR"/>
        </w:rPr>
        <w:t>Figura 1</w:t>
      </w:r>
      <w:r>
        <w:rPr>
          <w:lang w:val="pt-BR"/>
        </w:rPr>
        <w:t xml:space="preserve"> Prognóstico de perda de hemoglobina (HB) e perda de sangue dos participantes nos períodos de observação.</w:t>
      </w:r>
      <w:bookmarkEnd w:id="37"/>
    </w:p>
    <w:p>
      <w:pPr>
        <w:pStyle w:val="Heading2"/>
        <w:rPr>
          <w:lang w:val="pt-BR"/>
        </w:rPr>
      </w:pPr>
      <w:bookmarkStart w:id="38" w:name="__RefHeading___Toc14665_3154828084"/>
      <w:bookmarkStart w:id="39" w:name="prognóstico-de-componentes-hematológicos"/>
      <w:bookmarkEnd w:id="38"/>
      <w:bookmarkEnd w:id="39"/>
      <w:r>
        <w:rPr>
          <w:lang w:val="pt-BR"/>
        </w:rPr>
        <w:t>Prognóstico de componentes hematológicos</w:t>
      </w:r>
    </w:p>
    <w:p>
      <w:pPr>
        <w:pStyle w:val="FirstParagraph"/>
        <w:rPr>
          <w:lang w:val="pt-BR"/>
        </w:rPr>
      </w:pPr>
      <w:r>
        <w:rPr>
          <w:lang w:val="pt-BR"/>
        </w:rPr>
        <w:t>Os participantes do estudo tiveram redução dos parâmetros hematológicos ao longo do período de observação e aumento no escore funcional durante o período de observação (Figura 2, Tabela 2). A hemoglobina teve redução de 3 no primeiro dia (p&lt;0.001) e de 4.3 no segundo dia (p&lt;0.001). Os hematócritos apresentaram redução de 9.4 no primeiro dia (p&lt;0.001) e de 13 no segundo dia (p&lt;0.001).</w:t>
      </w:r>
    </w:p>
    <w:p>
      <w:pPr>
        <w:pStyle w:val="CaptionedFigure"/>
        <w:rPr>
          <w:lang w:val="pt-BR"/>
        </w:rPr>
      </w:pPr>
      <w:r>
        <w:rPr>
          <w:lang w:val="pt-BR"/>
        </w:rPr>
        <w:drawing>
          <wp:inline distT="0" distB="0" distL="0" distR="0">
            <wp:extent cx="5777230" cy="5777230"/>
            <wp:effectExtent l="0" t="0" r="0" b="0"/>
            <wp:docPr id="4" name="Image1" descr="Figura 2 Prognóstico das alterações na hemoglobina (HB), hematócritos (HT) e Harris Hip Score (HHS) dos participantes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a 2 Prognóstico das alterações na hemoglobina (HB), hematócritos (HT) e Harris Hip Score (HHS) dos participantes do estudo."/>
                    <pic:cNvPicPr>
                      <a:picLocks noChangeAspect="1" noChangeArrowheads="1"/>
                    </pic:cNvPicPr>
                  </pic:nvPicPr>
                  <pic:blipFill>
                    <a:blip r:embed="rId3"/>
                    <a:stretch>
                      <a:fillRect/>
                    </a:stretch>
                  </pic:blipFill>
                  <pic:spPr bwMode="auto">
                    <a:xfrm>
                      <a:off x="0" y="0"/>
                      <a:ext cx="5777230" cy="5777230"/>
                    </a:xfrm>
                    <a:prstGeom prst="rect">
                      <a:avLst/>
                    </a:prstGeom>
                  </pic:spPr>
                </pic:pic>
              </a:graphicData>
            </a:graphic>
          </wp:inline>
        </w:drawing>
      </w:r>
    </w:p>
    <w:p>
      <w:pPr>
        <w:pStyle w:val="ImageCaption"/>
        <w:rPr>
          <w:lang w:val="pt-BR"/>
        </w:rPr>
      </w:pPr>
      <w:r>
        <w:rPr>
          <w:b/>
          <w:bCs/>
          <w:lang w:val="pt-BR"/>
        </w:rPr>
        <w:t>Figura 2</w:t>
      </w:r>
      <w:r>
        <w:rPr>
          <w:lang w:val="pt-BR"/>
        </w:rPr>
        <w:t xml:space="preserve"> Prognóstico das alterações na hemoglobina (HB), hematócritos (HT) e Harris Hip Score (HHS) dos participantes do estudo.</w:t>
      </w:r>
    </w:p>
    <w:p>
      <w:pPr>
        <w:pStyle w:val="TextBody"/>
        <w:rPr>
          <w:lang w:val="pt-BR"/>
        </w:rPr>
      </w:pPr>
      <w:r>
        <w:rPr>
          <w:lang w:val="pt-BR"/>
        </w:rPr>
        <w:t>A dor, mensurada pela EVA teve redução de 4.6 pontos (p&lt;0.001) e no segundo dia redução de 6.4 pontos (p&lt;0.001). Seis semanas após a cirurgia o HHS aumentou em média 53 pontos (p&lt;0.001).</w:t>
      </w:r>
    </w:p>
    <w:p>
      <w:pPr>
        <w:pStyle w:val="TableCaption"/>
        <w:rPr>
          <w:lang w:val="pt-BR"/>
        </w:rPr>
      </w:pPr>
      <w:r>
        <w:rPr>
          <w:b/>
          <w:bCs/>
          <w:lang w:val="pt-BR"/>
        </w:rPr>
        <w:t>Tabela 2</w:t>
      </w:r>
      <w:r>
        <w:rPr>
          <w:lang w:val="pt-BR"/>
        </w:rPr>
        <w:t xml:space="preserve"> Prognóstico das alterações nos componentes hematológicos e Harris Hip Score (HHS) dos participantes do estudo.</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4030"/>
        <w:gridCol w:w="1240"/>
        <w:gridCol w:w="1240"/>
        <w:gridCol w:w="1175"/>
        <w:gridCol w:w="1030"/>
        <w:gridCol w:w="922"/>
      </w:tblGrid>
      <w:tr>
        <w:trPr/>
        <w:tc>
          <w:tcPr>
            <w:tcW w:w="40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b/>
                <w:bCs/>
                <w:i w:val="false"/>
                <w:iCs w:val="false"/>
                <w:strike w:val="false"/>
                <w:dstrike w:val="false"/>
                <w:outline w:val="false"/>
                <w:shadow w:val="false"/>
                <w:color w:val="000000"/>
                <w:sz w:val="20"/>
                <w:szCs w:val="20"/>
                <w:u w:val="none"/>
                <w:lang w:val="pt-BR"/>
              </w:rPr>
              <w:t>Características</w:t>
            </w:r>
          </w:p>
        </w:tc>
        <w:tc>
          <w:tcPr>
            <w:tcW w:w="124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b/>
                <w:bCs/>
                <w:i w:val="false"/>
                <w:iCs w:val="false"/>
                <w:strike w:val="false"/>
                <w:dstrike w:val="false"/>
                <w:outline w:val="false"/>
                <w:shadow w:val="false"/>
                <w:color w:val="000000"/>
                <w:sz w:val="20"/>
                <w:szCs w:val="20"/>
                <w:u w:val="none"/>
                <w:lang w:val="pt-BR"/>
              </w:rPr>
              <w:t>Pr</w:t>
            </w:r>
            <w:r>
              <w:rPr>
                <w:rFonts w:eastAsia="" w:cs="" w:cstheme="minorBidi" w:eastAsiaTheme="minorHAnsi"/>
                <w:b/>
                <w:bCs/>
                <w:i w:val="false"/>
                <w:iCs w:val="false"/>
                <w:strike w:val="false"/>
                <w:dstrike w:val="false"/>
                <w:outline w:val="false"/>
                <w:shadow w:val="false"/>
                <w:color w:val="auto"/>
                <w:kern w:val="0"/>
                <w:sz w:val="20"/>
                <w:szCs w:val="20"/>
                <w:u w:val="none"/>
                <w:lang w:val="pt-BR" w:eastAsia="en-US" w:bidi="ar-SA"/>
              </w:rPr>
              <w:t>é</w:t>
            </w:r>
            <w:r>
              <w:rPr>
                <w:b/>
                <w:bCs/>
                <w:i w:val="false"/>
                <w:iCs w:val="false"/>
                <w:strike w:val="false"/>
                <w:dstrike w:val="false"/>
                <w:outline w:val="false"/>
                <w:shadow w:val="false"/>
                <w:color w:val="000000"/>
                <w:sz w:val="20"/>
                <w:szCs w:val="20"/>
                <w:u w:val="none"/>
                <w:lang w:val="pt-BR"/>
              </w:rPr>
              <w:t>, N = 23</w:t>
            </w:r>
          </w:p>
        </w:tc>
        <w:tc>
          <w:tcPr>
            <w:tcW w:w="124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b/>
                <w:bCs/>
                <w:i w:val="false"/>
                <w:iCs w:val="false"/>
                <w:strike w:val="false"/>
                <w:dstrike w:val="false"/>
                <w:outline w:val="false"/>
                <w:shadow w:val="false"/>
                <w:color w:val="000000"/>
                <w:sz w:val="20"/>
                <w:szCs w:val="20"/>
                <w:u w:val="none"/>
                <w:lang w:val="pt-BR"/>
              </w:rPr>
              <w:t>P</w:t>
            </w:r>
            <w:r>
              <w:rPr>
                <w:rFonts w:eastAsia="" w:cs="" w:cstheme="minorBidi" w:eastAsiaTheme="minorHAnsi"/>
                <w:b/>
                <w:bCs/>
                <w:i w:val="false"/>
                <w:iCs w:val="false"/>
                <w:strike w:val="false"/>
                <w:dstrike w:val="false"/>
                <w:outline w:val="false"/>
                <w:shadow w:val="false"/>
                <w:color w:val="auto"/>
                <w:kern w:val="0"/>
                <w:sz w:val="20"/>
                <w:szCs w:val="20"/>
                <w:u w:val="none"/>
                <w:lang w:val="pt-BR" w:eastAsia="en-US" w:bidi="ar-SA"/>
              </w:rPr>
              <w:t>ós</w:t>
            </w:r>
            <w:r>
              <w:rPr>
                <w:b/>
                <w:bCs/>
                <w:i w:val="false"/>
                <w:iCs w:val="false"/>
                <w:strike w:val="false"/>
                <w:dstrike w:val="false"/>
                <w:outline w:val="false"/>
                <w:shadow w:val="false"/>
                <w:color w:val="000000"/>
                <w:sz w:val="20"/>
                <w:szCs w:val="20"/>
                <w:u w:val="none"/>
                <w:lang w:val="pt-BR"/>
              </w:rPr>
              <w:t>, N = 23</w:t>
            </w:r>
          </w:p>
        </w:tc>
        <w:tc>
          <w:tcPr>
            <w:tcW w:w="117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b/>
                <w:bCs/>
                <w:i w:val="false"/>
                <w:iCs w:val="false"/>
                <w:strike w:val="false"/>
                <w:dstrike w:val="false"/>
                <w:outline w:val="false"/>
                <w:shadow w:val="false"/>
                <w:color w:val="000000"/>
                <w:sz w:val="20"/>
                <w:szCs w:val="20"/>
                <w:u w:val="none"/>
                <w:lang w:val="pt-BR"/>
              </w:rPr>
              <w:t>Diferença</w:t>
            </w:r>
            <w:r>
              <w:rPr>
                <w:b/>
                <w:bCs/>
                <w:i/>
                <w:iCs w:val="false"/>
                <w:strike w:val="false"/>
                <w:dstrike w:val="false"/>
                <w:outline w:val="false"/>
                <w:shadow w:val="false"/>
                <w:color w:val="000000"/>
                <w:sz w:val="20"/>
                <w:szCs w:val="20"/>
                <w:u w:val="none"/>
                <w:vertAlign w:val="superscript"/>
                <w:lang w:val="pt-BR"/>
              </w:rPr>
              <w:t>1</w:t>
            </w:r>
          </w:p>
        </w:tc>
        <w:tc>
          <w:tcPr>
            <w:tcW w:w="10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b/>
                <w:bCs/>
                <w:i w:val="false"/>
                <w:iCs w:val="false"/>
                <w:strike w:val="false"/>
                <w:dstrike w:val="false"/>
                <w:outline w:val="false"/>
                <w:shadow w:val="false"/>
                <w:color w:val="000000"/>
                <w:sz w:val="20"/>
                <w:szCs w:val="20"/>
                <w:u w:val="none"/>
                <w:lang w:val="pt-BR"/>
              </w:rPr>
              <w:t>95% IC</w:t>
            </w:r>
            <w:r>
              <w:rPr>
                <w:b/>
                <w:bCs/>
                <w:i/>
                <w:iCs w:val="false"/>
                <w:strike w:val="false"/>
                <w:dstrike w:val="false"/>
                <w:outline w:val="false"/>
                <w:shadow w:val="false"/>
                <w:color w:val="000000"/>
                <w:sz w:val="20"/>
                <w:szCs w:val="20"/>
                <w:u w:val="none"/>
                <w:vertAlign w:val="superscript"/>
                <w:lang w:val="pt-BR"/>
              </w:rPr>
              <w:t>1,2</w:t>
            </w:r>
          </w:p>
        </w:tc>
        <w:tc>
          <w:tcPr>
            <w:tcW w:w="92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rPr>
            </w:pPr>
            <w:r>
              <w:rPr>
                <w:b/>
                <w:bCs/>
                <w:i w:val="false"/>
                <w:iCs w:val="false"/>
                <w:strike w:val="false"/>
                <w:dstrike w:val="false"/>
                <w:outline w:val="false"/>
                <w:shadow w:val="false"/>
                <w:color w:val="000000"/>
                <w:sz w:val="20"/>
                <w:szCs w:val="20"/>
                <w:u w:val="none"/>
                <w:lang w:val="pt-BR"/>
              </w:rPr>
              <w:t>Valor p</w:t>
            </w:r>
            <w:r>
              <w:rPr>
                <w:b/>
                <w:bCs/>
                <w:i/>
                <w:iCs w:val="false"/>
                <w:strike w:val="false"/>
                <w:dstrike w:val="false"/>
                <w:outline w:val="false"/>
                <w:shadow w:val="false"/>
                <w:color w:val="000000"/>
                <w:sz w:val="20"/>
                <w:szCs w:val="20"/>
                <w:u w:val="none"/>
                <w:vertAlign w:val="superscript"/>
                <w:lang w:val="pt-BR"/>
              </w:rPr>
              <w:t>1</w:t>
            </w:r>
          </w:p>
        </w:tc>
      </w:tr>
      <w:tr>
        <w:trPr/>
        <w:tc>
          <w:tcPr>
            <w:tcW w:w="4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Hemoglobina 24h, Média (Desvio Padrão)</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14.04 (1.54)</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11.03 (1.43)</w:t>
            </w:r>
          </w:p>
        </w:tc>
        <w:tc>
          <w:tcPr>
            <w:tcW w:w="1175"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3.0</w:t>
            </w:r>
          </w:p>
        </w:tc>
        <w:tc>
          <w:tcPr>
            <w:tcW w:w="1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2.2 to 3.8</w:t>
            </w:r>
          </w:p>
        </w:tc>
        <w:tc>
          <w:tcPr>
            <w:tcW w:w="922" w:type="dxa"/>
            <w:tcBorders>
              <w:left w:val="single" w:sz="4" w:space="0" w:color="000000"/>
              <w:bottom w:val="single" w:sz="4" w:space="0" w:color="000000"/>
              <w:right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&lt;0.001</w:t>
            </w:r>
          </w:p>
        </w:tc>
      </w:tr>
      <w:tr>
        <w:trPr/>
        <w:tc>
          <w:tcPr>
            <w:tcW w:w="4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Hematócritos 24h, Média (Desvio Padrão)</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41.7 (4.6)</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32.3 (4.3)</w:t>
            </w:r>
          </w:p>
        </w:tc>
        <w:tc>
          <w:tcPr>
            <w:tcW w:w="1175"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9.4</w:t>
            </w:r>
          </w:p>
        </w:tc>
        <w:tc>
          <w:tcPr>
            <w:tcW w:w="1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7.0 to 12</w:t>
            </w:r>
          </w:p>
        </w:tc>
        <w:tc>
          <w:tcPr>
            <w:tcW w:w="922" w:type="dxa"/>
            <w:tcBorders>
              <w:left w:val="single" w:sz="4" w:space="0" w:color="000000"/>
              <w:bottom w:val="single" w:sz="4" w:space="0" w:color="000000"/>
              <w:right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&lt;0.001</w:t>
            </w:r>
          </w:p>
        </w:tc>
      </w:tr>
      <w:tr>
        <w:trPr/>
        <w:tc>
          <w:tcPr>
            <w:tcW w:w="4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EVA 24h, Média (Desvio Padrão)</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7.26 (0.75)</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2.70 (1.66)</w:t>
            </w:r>
          </w:p>
        </w:tc>
        <w:tc>
          <w:tcPr>
            <w:tcW w:w="1175"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4.6</w:t>
            </w:r>
          </w:p>
        </w:tc>
        <w:tc>
          <w:tcPr>
            <w:tcW w:w="1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3.7 to 5.4</w:t>
            </w:r>
          </w:p>
        </w:tc>
        <w:tc>
          <w:tcPr>
            <w:tcW w:w="922" w:type="dxa"/>
            <w:tcBorders>
              <w:left w:val="single" w:sz="4" w:space="0" w:color="000000"/>
              <w:bottom w:val="single" w:sz="4" w:space="0" w:color="000000"/>
              <w:right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&lt;0.001</w:t>
            </w:r>
          </w:p>
        </w:tc>
      </w:tr>
      <w:tr>
        <w:trPr/>
        <w:tc>
          <w:tcPr>
            <w:tcW w:w="4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Hemoglobina 48h, Média (Desvio Padrão)</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14.04 (1.54)</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9.74 (1.39)</w:t>
            </w:r>
          </w:p>
        </w:tc>
        <w:tc>
          <w:tcPr>
            <w:tcW w:w="1175"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4.3</w:t>
            </w:r>
          </w:p>
        </w:tc>
        <w:tc>
          <w:tcPr>
            <w:tcW w:w="1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3.5 to 5.1</w:t>
            </w:r>
          </w:p>
        </w:tc>
        <w:tc>
          <w:tcPr>
            <w:tcW w:w="922" w:type="dxa"/>
            <w:tcBorders>
              <w:left w:val="single" w:sz="4" w:space="0" w:color="000000"/>
              <w:bottom w:val="single" w:sz="4" w:space="0" w:color="000000"/>
              <w:right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&lt;0.001</w:t>
            </w:r>
          </w:p>
        </w:tc>
      </w:tr>
      <w:tr>
        <w:trPr/>
        <w:tc>
          <w:tcPr>
            <w:tcW w:w="4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Hematócritos 48h, Média (Desvio Padrão)</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42 (5)</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29 (4)</w:t>
            </w:r>
          </w:p>
        </w:tc>
        <w:tc>
          <w:tcPr>
            <w:tcW w:w="1175"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13</w:t>
            </w:r>
          </w:p>
        </w:tc>
        <w:tc>
          <w:tcPr>
            <w:tcW w:w="1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11 to 15</w:t>
            </w:r>
          </w:p>
        </w:tc>
        <w:tc>
          <w:tcPr>
            <w:tcW w:w="922" w:type="dxa"/>
            <w:tcBorders>
              <w:left w:val="single" w:sz="4" w:space="0" w:color="000000"/>
              <w:bottom w:val="single" w:sz="4" w:space="0" w:color="000000"/>
              <w:right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&lt;0.001</w:t>
            </w:r>
          </w:p>
        </w:tc>
      </w:tr>
      <w:tr>
        <w:trPr/>
        <w:tc>
          <w:tcPr>
            <w:tcW w:w="4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EVA 48h, Média (Desvio Padrão)</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7.26 (0.75)</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0.83 (1.30)</w:t>
            </w:r>
          </w:p>
        </w:tc>
        <w:tc>
          <w:tcPr>
            <w:tcW w:w="1175"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6.4</w:t>
            </w:r>
          </w:p>
        </w:tc>
        <w:tc>
          <w:tcPr>
            <w:tcW w:w="1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5.8 to 7.1</w:t>
            </w:r>
          </w:p>
        </w:tc>
        <w:tc>
          <w:tcPr>
            <w:tcW w:w="922" w:type="dxa"/>
            <w:tcBorders>
              <w:left w:val="single" w:sz="4" w:space="0" w:color="000000"/>
              <w:bottom w:val="single" w:sz="4" w:space="0" w:color="000000"/>
              <w:right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&lt;0.001</w:t>
            </w:r>
          </w:p>
        </w:tc>
      </w:tr>
      <w:tr>
        <w:trPr/>
        <w:tc>
          <w:tcPr>
            <w:tcW w:w="4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HHS, Média (Desvio Padrão)</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30 (4)</w:t>
            </w:r>
          </w:p>
        </w:tc>
        <w:tc>
          <w:tcPr>
            <w:tcW w:w="124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83 (8)</w:t>
            </w:r>
          </w:p>
        </w:tc>
        <w:tc>
          <w:tcPr>
            <w:tcW w:w="1175"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-53</w:t>
            </w:r>
          </w:p>
        </w:tc>
        <w:tc>
          <w:tcPr>
            <w:tcW w:w="1030"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-57 to -49</w:t>
            </w:r>
          </w:p>
        </w:tc>
        <w:tc>
          <w:tcPr>
            <w:tcW w:w="922" w:type="dxa"/>
            <w:tcBorders>
              <w:left w:val="single" w:sz="4" w:space="0" w:color="000000"/>
              <w:bottom w:val="single" w:sz="4" w:space="0" w:color="000000"/>
              <w:right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0"/>
                <w:szCs w:val="20"/>
                <w:u w:val="none"/>
                <w:lang w:val="pt-BR"/>
              </w:rPr>
              <w:t>&lt;0.001</w:t>
            </w:r>
          </w:p>
        </w:tc>
      </w:tr>
      <w:tr>
        <w:trPr/>
        <w:tc>
          <w:tcPr>
            <w:tcW w:w="9637" w:type="dxa"/>
            <w:gridSpan w:val="6"/>
            <w:tcBorders>
              <w:left w:val="single" w:sz="4" w:space="0" w:color="000000"/>
              <w:bottom w:val="single" w:sz="4" w:space="0" w:color="000000"/>
              <w:right w:val="single" w:sz="4" w:space="0" w:color="000000"/>
            </w:tcBorders>
            <w:vAlign w:val="center"/>
          </w:tcPr>
          <w:p>
            <w:pPr>
              <w:pStyle w:val="Compact"/>
              <w:widowControl w:val="false"/>
              <w:jc w:val="left"/>
              <w:rPr>
                <w:lang w:val="pt-BR"/>
              </w:rPr>
            </w:pPr>
            <w:r>
              <w:rPr>
                <w:b w:val="false"/>
                <w:bCs w:val="false"/>
                <w:i/>
                <w:iCs w:val="false"/>
                <w:strike w:val="false"/>
                <w:dstrike w:val="false"/>
                <w:outline w:val="false"/>
                <w:shadow w:val="false"/>
                <w:color w:val="000000"/>
                <w:sz w:val="16"/>
                <w:szCs w:val="16"/>
                <w:u w:val="none"/>
                <w:vertAlign w:val="superscript"/>
                <w:lang w:val="pt-BR"/>
              </w:rPr>
              <w:t>1</w:t>
            </w:r>
            <w:r>
              <w:rPr>
                <w:b w:val="false"/>
                <w:bCs w:val="false"/>
                <w:i w:val="false"/>
                <w:iCs w:val="false"/>
                <w:strike w:val="false"/>
                <w:dstrike w:val="false"/>
                <w:outline w:val="false"/>
                <w:shadow w:val="false"/>
                <w:color w:val="000000"/>
                <w:sz w:val="16"/>
                <w:szCs w:val="16"/>
                <w:u w:val="none"/>
                <w:lang w:val="pt-BR"/>
              </w:rPr>
              <w:t>Teste t pareado</w:t>
              <w:br/>
            </w:r>
            <w:r>
              <w:rPr>
                <w:b w:val="false"/>
                <w:bCs w:val="false"/>
                <w:i/>
                <w:iCs w:val="false"/>
                <w:strike w:val="false"/>
                <w:dstrike w:val="false"/>
                <w:outline w:val="false"/>
                <w:shadow w:val="false"/>
                <w:color w:val="000000"/>
                <w:sz w:val="16"/>
                <w:szCs w:val="16"/>
                <w:u w:val="none"/>
                <w:vertAlign w:val="superscript"/>
                <w:lang w:val="pt-BR"/>
              </w:rPr>
              <w:t>2</w:t>
            </w:r>
            <w:r>
              <w:rPr>
                <w:b w:val="false"/>
                <w:bCs w:val="false"/>
                <w:i w:val="false"/>
                <w:iCs w:val="false"/>
                <w:strike w:val="false"/>
                <w:dstrike w:val="false"/>
                <w:outline w:val="false"/>
                <w:shadow w:val="false"/>
                <w:color w:val="000000"/>
                <w:sz w:val="16"/>
                <w:szCs w:val="16"/>
                <w:u w:val="none"/>
                <w:lang w:val="pt-BR"/>
              </w:rPr>
              <w:t>IC = Intervalo de confiança</w:t>
            </w:r>
          </w:p>
        </w:tc>
      </w:tr>
    </w:tbl>
    <w:p>
      <w:pPr>
        <w:pStyle w:val="Heading1"/>
        <w:rPr>
          <w:lang w:val="pt-BR"/>
        </w:rPr>
      </w:pPr>
      <w:bookmarkStart w:id="40" w:name="__RefHeading___Toc14667_3154828084"/>
      <w:bookmarkEnd w:id="40"/>
      <w:r>
        <w:rPr>
          <w:lang w:val="pt-BR"/>
        </w:rPr>
        <w:t>Observações e limitações</w:t>
      </w:r>
    </w:p>
    <w:p>
      <w:pPr>
        <w:pStyle w:val="FirstParagraph"/>
        <w:rPr>
          <w:lang w:val="pt-BR"/>
        </w:rPr>
      </w:pPr>
      <w:r>
        <w:rPr>
          <w:lang w:val="pt-BR"/>
        </w:rPr>
        <w:t>N/A</w:t>
      </w:r>
    </w:p>
    <w:p>
      <w:pPr>
        <w:pStyle w:val="Heading1"/>
        <w:rPr>
          <w:lang w:val="pt-BR"/>
        </w:rPr>
      </w:pPr>
      <w:bookmarkStart w:id="41" w:name="__RefHeading___Toc14669_3154828084"/>
      <w:bookmarkStart w:id="42" w:name="conclusões"/>
      <w:bookmarkEnd w:id="41"/>
      <w:r>
        <w:rPr>
          <w:lang w:val="pt-BR"/>
        </w:rPr>
        <w:t>Conclusões</w:t>
      </w:r>
    </w:p>
    <w:p>
      <w:pPr>
        <w:pStyle w:val="FirstParagraph"/>
        <w:rPr>
          <w:lang w:val="pt-BR"/>
        </w:rPr>
      </w:pPr>
      <w:bookmarkStart w:id="43" w:name="conclusões"/>
      <w:r>
        <w:rPr>
          <w:lang w:val="pt-BR"/>
        </w:rPr>
        <w:t>A HB e a HT apresentaram redução significativa tanto em 24h quanto 48h após a ATQ. A EVA foi significativamente reduzida tanto em 24h quanto 48h após a ATQ e o HHS aumentou significativamente após seis semanas.</w:t>
      </w:r>
      <w:bookmarkEnd w:id="43"/>
    </w:p>
    <w:p>
      <w:pPr>
        <w:pStyle w:val="Heading1"/>
        <w:rPr>
          <w:lang w:val="pt-BR"/>
        </w:rPr>
      </w:pPr>
      <w:bookmarkStart w:id="44" w:name="__RefHeading___Toc14671_3154828084"/>
      <w:bookmarkStart w:id="45" w:name="referências"/>
      <w:bookmarkEnd w:id="44"/>
      <w:r>
        <w:rPr>
          <w:lang w:val="pt-BR"/>
        </w:rPr>
        <w:t>Referências</w:t>
      </w:r>
    </w:p>
    <w:p>
      <w:pPr>
        <w:pStyle w:val="Compact"/>
        <w:numPr>
          <w:ilvl w:val="0"/>
          <w:numId w:val="10"/>
        </w:numPr>
        <w:rPr>
          <w:lang w:val="pt-BR"/>
        </w:rPr>
      </w:pPr>
      <w:r>
        <w:rPr>
          <w:b/>
          <w:bCs/>
          <w:lang w:val="pt-BR"/>
        </w:rPr>
        <w:t>SAP-2022-014-MM-v01</w:t>
      </w:r>
      <w:r>
        <w:rPr>
          <w:lang w:val="pt-BR"/>
        </w:rPr>
        <w:t xml:space="preserve"> – Plano Analítico para Prognóstico de componentes hematológicos após ATQ bilateral simultânea em centro cirúrgico de referência</w:t>
      </w:r>
      <w:bookmarkEnd w:id="45"/>
    </w:p>
    <w:p>
      <w:pPr>
        <w:pStyle w:val="Heading1"/>
        <w:rPr>
          <w:lang w:val="pt-BR"/>
        </w:rPr>
      </w:pPr>
      <w:bookmarkStart w:id="46" w:name="__RefHeading___Toc14673_3154828084"/>
      <w:bookmarkStart w:id="47" w:name="apêndice"/>
      <w:bookmarkEnd w:id="46"/>
      <w:r>
        <w:rPr>
          <w:lang w:val="pt-BR"/>
        </w:rPr>
        <w:t>Apêndice</w:t>
      </w:r>
    </w:p>
    <w:p>
      <w:pPr>
        <w:pStyle w:val="Heading2"/>
        <w:rPr>
          <w:lang w:val="pt-BR"/>
        </w:rPr>
      </w:pPr>
      <w:bookmarkStart w:id="48" w:name="__RefHeading___Toc14675_3154828084"/>
      <w:bookmarkStart w:id="49" w:name="análise-exploratória-de-dados"/>
      <w:bookmarkEnd w:id="48"/>
      <w:r>
        <w:rPr>
          <w:lang w:val="pt-BR"/>
        </w:rPr>
        <w:t>Análise exploratória de dados</w:t>
      </w:r>
    </w:p>
    <w:p>
      <w:pPr>
        <w:pStyle w:val="CaptionedFigure"/>
        <w:rPr>
          <w:lang w:val="pt-BR"/>
        </w:rPr>
      </w:pPr>
      <w:r>
        <w:rPr>
          <w:lang w:val="pt-BR"/>
        </w:rPr>
        <w:drawing>
          <wp:inline distT="0" distB="0" distL="0" distR="0">
            <wp:extent cx="4333240" cy="4333240"/>
            <wp:effectExtent l="0" t="0" r="0" b="0"/>
            <wp:docPr id="5" name="Image2" descr="Figura A1 Distribuição da idade na população do es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Figura A1 Distribuição da idade na população do estudo."/>
                    <pic:cNvPicPr>
                      <a:picLocks noChangeAspect="1" noChangeArrowheads="1"/>
                    </pic:cNvPicPr>
                  </pic:nvPicPr>
                  <pic:blipFill>
                    <a:blip r:embed="rId4"/>
                    <a:stretch>
                      <a:fillRect/>
                    </a:stretch>
                  </pic:blipFill>
                  <pic:spPr bwMode="auto">
                    <a:xfrm>
                      <a:off x="0" y="0"/>
                      <a:ext cx="4333240" cy="4333240"/>
                    </a:xfrm>
                    <a:prstGeom prst="rect">
                      <a:avLst/>
                    </a:prstGeom>
                  </pic:spPr>
                </pic:pic>
              </a:graphicData>
            </a:graphic>
          </wp:inline>
        </w:drawing>
      </w:r>
    </w:p>
    <w:p>
      <w:pPr>
        <w:pStyle w:val="ImageCaption"/>
        <w:rPr>
          <w:lang w:val="pt-BR"/>
        </w:rPr>
      </w:pPr>
      <w:r>
        <w:rPr>
          <w:b/>
          <w:bCs/>
          <w:lang w:val="pt-BR"/>
        </w:rPr>
        <w:t>Figura A1</w:t>
      </w:r>
      <w:r>
        <w:rPr>
          <w:lang w:val="pt-BR"/>
        </w:rPr>
        <w:t xml:space="preserve"> Distribuição da idade na população do estudo.</w:t>
      </w:r>
      <w:bookmarkEnd w:id="49"/>
    </w:p>
    <w:p>
      <w:pPr>
        <w:pStyle w:val="Heading2"/>
        <w:rPr>
          <w:lang w:val="pt-BR"/>
        </w:rPr>
      </w:pPr>
      <w:bookmarkStart w:id="50" w:name="__RefHeading___Toc14677_3154828084"/>
      <w:bookmarkStart w:id="51" w:name="disponibilidade"/>
      <w:bookmarkEnd w:id="50"/>
      <w:r>
        <w:rPr>
          <w:lang w:val="pt-BR"/>
        </w:rPr>
        <w:t>Disponibilidade</w:t>
      </w:r>
    </w:p>
    <w:p>
      <w:pPr>
        <w:pStyle w:val="FirstParagraph"/>
        <w:rPr>
          <w:lang w:val="pt-BR"/>
        </w:rPr>
      </w:pPr>
      <w:r>
        <w:rPr>
          <w:lang w:val="pt-BR"/>
        </w:rPr>
        <w:t>Todos os documentos gerados nessa consultoria foram incluídos no portfólio do consultor.</w:t>
      </w:r>
    </w:p>
    <w:p>
      <w:pPr>
        <w:pStyle w:val="TextBody"/>
        <w:rPr>
          <w:lang w:val="pt-BR"/>
        </w:rPr>
      </w:pPr>
      <w:r>
        <w:rPr>
          <w:lang w:val="pt-BR"/>
        </w:rPr>
        <w:t>O portfólio pode ser visto em:</w:t>
      </w:r>
    </w:p>
    <w:p>
      <w:pPr>
        <w:pStyle w:val="TextBody"/>
        <w:rPr/>
      </w:pPr>
      <w:hyperlink r:id="rId5">
        <w:bookmarkStart w:id="52" w:name="disponibilidade"/>
        <w:r>
          <w:rPr>
            <w:rStyle w:val="InternetLink"/>
            <w:lang w:val="pt-BR"/>
          </w:rPr>
          <w:t>https://philsf-biostat.github.io/SAR-2022-014-MM/</w:t>
        </w:r>
      </w:hyperlink>
      <w:bookmarkEnd w:id="52"/>
    </w:p>
    <w:p>
      <w:pPr>
        <w:pStyle w:val="Heading2"/>
        <w:keepLines/>
        <w:widowControl/>
        <w:numPr>
          <w:ilvl w:val="0"/>
          <w:numId w:val="0"/>
        </w:numPr>
        <w:suppressAutoHyphens w:val="true"/>
        <w:jc w:val="left"/>
        <w:rPr>
          <w:lang w:val="pt-BR"/>
        </w:rPr>
      </w:pPr>
      <w:r>
        <w:rPr>
          <w:lang w:val="pt-BR"/>
        </w:rPr>
      </w:r>
      <w:r>
        <w:br w:type="page"/>
      </w:r>
    </w:p>
    <w:p>
      <w:pPr>
        <w:pStyle w:val="Heading2"/>
        <w:rPr>
          <w:lang w:val="pt-BR"/>
        </w:rPr>
      </w:pPr>
      <w:bookmarkStart w:id="53" w:name="__RefHeading___Toc14679_3154828084"/>
      <w:bookmarkStart w:id="54" w:name="dados-utilizados"/>
      <w:bookmarkEnd w:id="53"/>
      <w:r>
        <w:rPr>
          <w:lang w:val="pt-BR"/>
        </w:rPr>
        <w:t>Dados utilizados</w:t>
      </w:r>
    </w:p>
    <w:p>
      <w:pPr>
        <w:pStyle w:val="FirstParagraph"/>
        <w:rPr>
          <w:lang w:val="pt-BR"/>
        </w:rPr>
      </w:pPr>
      <w:r>
        <w:rPr>
          <w:lang w:val="pt-BR"/>
        </w:rPr>
        <w:t>A tabela A1 mostra a estrutura da tabela de dados analíticos.</w:t>
      </w:r>
    </w:p>
    <w:p>
      <w:pPr>
        <w:pStyle w:val="TableCaption"/>
        <w:rPr>
          <w:lang w:val="pt-BR"/>
        </w:rPr>
      </w:pPr>
      <w:r>
        <w:rPr>
          <w:b/>
          <w:bCs/>
          <w:lang w:val="pt-BR"/>
        </w:rPr>
        <w:t>Tabela A1</w:t>
      </w:r>
      <w:r>
        <w:rPr>
          <w:lang w:val="pt-BR"/>
        </w:rPr>
        <w:t xml:space="preserve"> Estrutura da tabela de dados analíticos</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262"/>
        <w:gridCol w:w="419"/>
        <w:gridCol w:w="418"/>
        <w:gridCol w:w="471"/>
        <w:gridCol w:w="473"/>
        <w:gridCol w:w="471"/>
        <w:gridCol w:w="366"/>
        <w:gridCol w:w="367"/>
        <w:gridCol w:w="419"/>
        <w:gridCol w:w="419"/>
        <w:gridCol w:w="419"/>
        <w:gridCol w:w="629"/>
        <w:gridCol w:w="733"/>
        <w:gridCol w:w="366"/>
        <w:gridCol w:w="368"/>
        <w:gridCol w:w="419"/>
        <w:gridCol w:w="418"/>
        <w:gridCol w:w="419"/>
        <w:gridCol w:w="629"/>
        <w:gridCol w:w="733"/>
        <w:gridCol w:w="417"/>
      </w:tblGrid>
      <w:tr>
        <w:trPr/>
        <w:tc>
          <w:tcPr>
            <w:tcW w:w="2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id</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hb_pre</w:t>
            </w:r>
          </w:p>
        </w:tc>
        <w:tc>
          <w:tcPr>
            <w:tcW w:w="4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ht_pre</w:t>
            </w:r>
          </w:p>
        </w:tc>
        <w:tc>
          <w:tcPr>
            <w:tcW w:w="4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eva_pre</w:t>
            </w:r>
          </w:p>
        </w:tc>
        <w:tc>
          <w:tcPr>
            <w:tcW w:w="4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hhs_pre</w:t>
            </w:r>
          </w:p>
        </w:tc>
        <w:tc>
          <w:tcPr>
            <w:tcW w:w="4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cha_pre</w:t>
            </w:r>
          </w:p>
        </w:tc>
        <w:tc>
          <w:tcPr>
            <w:tcW w:w="36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hb_24</w:t>
            </w:r>
          </w:p>
        </w:tc>
        <w:tc>
          <w:tcPr>
            <w:tcW w:w="3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ht_24</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cha_24</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vol_24</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eva_24</w:t>
            </w:r>
          </w:p>
        </w:tc>
        <w:tc>
          <w:tcPr>
            <w:tcW w:w="62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perdahb_24</w:t>
            </w:r>
          </w:p>
        </w:tc>
        <w:tc>
          <w:tcPr>
            <w:tcW w:w="7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perdasang_24</w:t>
            </w:r>
          </w:p>
        </w:tc>
        <w:tc>
          <w:tcPr>
            <w:tcW w:w="36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hb_48</w:t>
            </w:r>
          </w:p>
        </w:tc>
        <w:tc>
          <w:tcPr>
            <w:tcW w:w="36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ht_48</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cha_48</w:t>
            </w:r>
          </w:p>
        </w:tc>
        <w:tc>
          <w:tcPr>
            <w:tcW w:w="4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vol_48</w:t>
            </w:r>
          </w:p>
        </w:tc>
        <w:tc>
          <w:tcPr>
            <w:tcW w:w="4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eva_48</w:t>
            </w:r>
          </w:p>
        </w:tc>
        <w:tc>
          <w:tcPr>
            <w:tcW w:w="62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perdahb_48</w:t>
            </w:r>
          </w:p>
        </w:tc>
        <w:tc>
          <w:tcPr>
            <w:tcW w:w="7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perdasang_48</w:t>
            </w:r>
          </w:p>
        </w:tc>
        <w:tc>
          <w:tcPr>
            <w:tcW w:w="41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2"/>
                <w:szCs w:val="12"/>
                <w:u w:val="none"/>
                <w:lang w:val="pt-BR" w:eastAsia="en-US" w:bidi="ar-SA"/>
              </w:rPr>
              <w:t>hhs_6s</w:t>
            </w:r>
          </w:p>
        </w:tc>
      </w:tr>
      <w:tr>
        <w:trPr/>
        <w:tc>
          <w:tcPr>
            <w:tcW w:w="262" w:type="dxa"/>
            <w:tcBorders>
              <w:left w:val="single" w:sz="4" w:space="0" w:color="000000"/>
              <w:bottom w:val="single" w:sz="4" w:space="0" w:color="000000"/>
            </w:tcBorders>
            <w:vAlign w:val="center"/>
          </w:tcPr>
          <w:p>
            <w:pPr>
              <w:pStyle w:val="Compact"/>
              <w:widowControl w:val="false"/>
              <w:jc w:val="center"/>
              <w:rPr>
                <w:lang w:val="pt-BR"/>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1</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2</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3</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r>
        <w:trPr/>
        <w:tc>
          <w:tcPr>
            <w:tcW w:w="262" w:type="dxa"/>
            <w:tcBorders>
              <w:left w:val="single" w:sz="4" w:space="0" w:color="000000"/>
              <w:bottom w:val="single" w:sz="4" w:space="0" w:color="000000"/>
            </w:tcBorders>
            <w:vAlign w:val="center"/>
          </w:tcPr>
          <w:p>
            <w:pPr>
              <w:pStyle w:val="Compact"/>
              <w:widowControl w:val="false"/>
              <w:jc w:val="center"/>
              <w:rPr>
                <w:lang w:val="pt-BR"/>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t>N</w:t>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7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7"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36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62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7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c>
          <w:tcPr>
            <w:tcW w:w="41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2"/>
                <w:szCs w:val="12"/>
                <w:u w:val="none"/>
                <w:lang w:val="pt-BR" w:eastAsia="en-US" w:bidi="ar-SA"/>
              </w:rPr>
            </w:pPr>
            <w:r>
              <w:rPr>
                <w:rFonts w:ascii="Ubuntu Mono" w:hAnsi="Ubuntu Mono"/>
                <w:b w:val="false"/>
                <w:bCs w:val="false"/>
                <w:i w:val="false"/>
                <w:iCs w:val="false"/>
                <w:strike w:val="false"/>
                <w:dstrike w:val="false"/>
                <w:outline w:val="false"/>
                <w:shadow w:val="false"/>
                <w:color w:val="000000"/>
                <w:sz w:val="12"/>
                <w:szCs w:val="12"/>
                <w:u w:val="none"/>
                <w:lang w:val="pt-BR" w:eastAsia="en-US" w:bidi="ar-SA"/>
              </w:rPr>
            </w:r>
          </w:p>
        </w:tc>
      </w:tr>
    </w:tbl>
    <w:p>
      <w:pPr>
        <w:pStyle w:val="TextBody"/>
        <w:spacing w:before="180" w:after="180"/>
        <w:rPr>
          <w:lang w:val="pt-BR"/>
        </w:rPr>
      </w:pPr>
      <w:bookmarkStart w:id="55" w:name="apêndice"/>
      <w:bookmarkStart w:id="56" w:name="dados-utilizados"/>
      <w:r>
        <w:rPr>
          <w:lang w:val="pt-BR"/>
        </w:rPr>
        <w:t>Os dados utilizados neste relatório não podem ser publicados online por questões de sigilo.</w:t>
      </w:r>
      <w:bookmarkEnd w:id="55"/>
      <w:bookmarkEnd w:id="56"/>
    </w:p>
    <w:sectPr>
      <w:headerReference w:type="default" r:id="rId6"/>
      <w:footerReference w:type="default" r:id="rId7"/>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7"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eastAsia="Cambria" w:cs=""/>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eastAsia="Cambria" w:cs=""/>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pt-BR" w:eastAsia="en-US" w:bidi="ar-SA"/>
            </w:rPr>
          </w:pPr>
          <w:r>
            <w:rPr>
              <w:lang w:val="pt-BR"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0" w:type="dxa"/>
          <w:tcBorders/>
          <w:vAlign w:val="center"/>
        </w:tcPr>
        <w:p>
          <w:pPr>
            <w:pStyle w:val="CabealhoeRodap"/>
            <w:widowControl w:val="false"/>
            <w:jc w:val="center"/>
            <w:rPr>
              <w:lang w:val="pt-BR" w:eastAsia="en-US" w:bidi="ar-SA"/>
            </w:rPr>
          </w:pPr>
          <w:r>
            <w:rPr>
              <w:lang w:val="pt-BR"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10</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10</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Relatório de Análise Estatística </w:t>
          </w:r>
          <w:r>
            <w:rPr>
              <w:b/>
              <w:bCs/>
              <w:lang w:val="pt-BR" w:eastAsia="en-US" w:bidi="ar-SA"/>
            </w:rPr>
            <w:t>(SA</w:t>
          </w:r>
          <w:r>
            <w:rPr>
              <w:rFonts w:eastAsia="Cambria" w:cs="" w:cstheme="minorBidi" w:eastAsiaTheme="minorHAnsi"/>
              <w:b/>
              <w:bCs/>
              <w:color w:val="auto"/>
              <w:kern w:val="0"/>
              <w:sz w:val="20"/>
              <w:szCs w:val="24"/>
              <w:lang w:val="pt-BR" w:eastAsia="en-US" w:bidi="ar-SA"/>
            </w:rPr>
            <w:t>R</w:t>
          </w:r>
          <w:r>
            <w:rPr>
              <w:b/>
              <w:bCs/>
              <w:lang w:val="pt-BR"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hilsf-biostat.github.io/SAR-2022-014-M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LibreOffice/7.3.3.2$Linux_X86_64 LibreOffice_project/30$Build-2</Application>
  <AppVersion>15.0000</AppVersion>
  <Pages>10</Pages>
  <Words>1298</Words>
  <Characters>6891</Characters>
  <CharactersWithSpaces>8002</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2022-05-16T09:55:34Z</dcterms:created>
  <dc:creator>De: Felipe Figueiredo Para: Marcelo Monteiro</dc:creator>
  <dc:description/>
  <dc:language>pt-BR</dc:language>
  <cp:lastModifiedBy>Felipe Figueiredo</cp:lastModifiedBy>
  <dcterms:modified xsi:type="dcterms:W3CDTF">2022-05-16T06:59:09Z</dcterms:modified>
  <cp:revision>2</cp:revision>
  <dc:subject/>
  <dc:title>Prognóstico de componentes hematológicos após ATQ bilateral simultânea em centro cirúrgico de referência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2022-05-16</vt:lpwstr>
  </property>
  <property fmtid="{D5CDD505-2E9C-101B-9397-08002B2CF9AE}" pid="3" name="output">
    <vt:lpwstr/>
  </property>
  <property fmtid="{D5CDD505-2E9C-101B-9397-08002B2CF9AE}" pid="4" name="subtitle">
    <vt:lpwstr>DOCUMENTO: SAR-2022-014-MM-v01</vt:lpwstr>
  </property>
  <property fmtid="{D5CDD505-2E9C-101B-9397-08002B2CF9AE}" pid="5" name="toc-title">
    <vt:lpwstr>Sumário</vt:lpwstr>
  </property>
</Properties>
</file>