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eastAsia="en-US" w:bidi="ar-SA"/>
        </w:rPr>
      </w:pPr>
      <w:r>
        <w:rPr>
          <w:lang w:val="pt-BR" w:eastAsia="en-US" w:bidi="ar-SA"/>
        </w:rPr>
        <w:t>Plano Analítico para Associação entre vacinação de COVID-19 e internações por SRAG em idosos nas áreas programáticas do Rio de Janeiro/RJ em 2021</w:t>
      </w:r>
    </w:p>
    <w:p>
      <w:pPr>
        <w:pStyle w:val="Subtitle"/>
        <w:rPr>
          <w:lang w:val="pt-BR" w:eastAsia="en-US" w:bidi="ar-SA"/>
        </w:rPr>
      </w:pPr>
      <w:r>
        <w:rPr>
          <w:lang w:val="pt-BR" w:eastAsia="en-US" w:bidi="ar-SA"/>
        </w:rPr>
        <w:t>DOCUMENTO: SAP-2022-016-JB-v01</w:t>
      </w:r>
    </w:p>
    <w:p>
      <w:pPr>
        <w:pStyle w:val="Author"/>
        <w:rPr>
          <w:lang w:val="pt-BR" w:eastAsia="en-US" w:bidi="ar-SA"/>
        </w:rPr>
      </w:pPr>
      <w:r>
        <w:rPr>
          <w:b/>
          <w:bCs/>
          <w:lang w:val="pt-BR" w:eastAsia="en-US" w:bidi="ar-SA"/>
        </w:rPr>
        <w:t>De:</w:t>
      </w:r>
      <w:r>
        <w:rPr>
          <w:lang w:val="pt-BR" w:eastAsia="en-US" w:bidi="ar-SA"/>
        </w:rPr>
        <w:t xml:space="preserve"> Felipe Figueiredo </w:t>
      </w:r>
      <w:r>
        <w:rPr>
          <w:b/>
          <w:bCs/>
          <w:lang w:val="pt-BR" w:eastAsia="en-US" w:bidi="ar-SA"/>
        </w:rPr>
        <w:t>Para:</w:t>
      </w:r>
      <w:r>
        <w:rPr>
          <w:lang w:val="pt-BR" w:eastAsia="en-US" w:bidi="ar-SA"/>
        </w:rPr>
        <w:t xml:space="preserve"> Janaina Balmant</w:t>
      </w:r>
    </w:p>
    <w:p>
      <w:pPr>
        <w:pStyle w:val="Date"/>
        <w:rPr>
          <w:lang w:val="pt-BR" w:eastAsia="en-US" w:bidi="ar-SA"/>
        </w:rPr>
      </w:pPr>
      <w:r>
        <w:rPr>
          <w:lang w:val="pt-BR" w:eastAsia="en-US" w:bidi="ar-SA"/>
        </w:rPr>
        <w:t>2022-03-23</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lang w:val="pt-BR" w:eastAsia="en-US" w:bidi="ar-SA"/>
            </w:rPr>
          </w:pPr>
          <w:r>
            <w:rPr>
              <w:rFonts w:eastAsia="" w:cs="" w:cstheme="majorBidi" w:eastAsiaTheme="majorEastAsia"/>
              <w:b/>
              <w:bCs w:val="false"/>
              <w:color w:val="000000" w:themeShade="bf"/>
              <w:sz w:val="32"/>
              <w:lang w:val="pt-BR" w:eastAsia="en-US" w:bidi="ar-SA"/>
            </w:rPr>
            <w:t>Sumário</w:t>
          </w:r>
        </w:p>
        <w:p>
          <w:pPr>
            <w:pStyle w:val="Contents1"/>
            <w:tabs>
              <w:tab w:val="clear" w:pos="9360"/>
              <w:tab w:val="right" w:pos="9638" w:leader="dot"/>
            </w:tabs>
            <w:rPr/>
          </w:pPr>
          <w:r>
            <w:fldChar w:fldCharType="begin"/>
          </w:r>
          <w:r>
            <w:rPr>
              <w:webHidden/>
              <w:rStyle w:val="IndexLink"/>
              <w:vanish w:val="false"/>
              <w:lang w:val="pt-BR" w:eastAsia="en-US" w:bidi="ar-SA"/>
            </w:rPr>
            <w:instrText xml:space="preserve"> TOC \z \o "1-3" \u \h</w:instrText>
          </w:r>
          <w:r>
            <w:rPr>
              <w:webHidden/>
              <w:rStyle w:val="IndexLink"/>
              <w:vanish w:val="false"/>
              <w:lang w:val="pt-BR" w:eastAsia="en-US" w:bidi="ar-SA"/>
            </w:rPr>
            <w:fldChar w:fldCharType="separate"/>
          </w:r>
          <w:hyperlink w:anchor="__RefHeading___Toc3294_2665529824">
            <w:r>
              <w:rPr>
                <w:webHidden/>
                <w:rStyle w:val="IndexLink"/>
                <w:vanish w:val="false"/>
                <w:lang w:val="pt-BR" w:eastAsia="en-US" w:bidi="ar-SA"/>
              </w:rPr>
              <w:t xml:space="preserve"> </w:t>
            </w:r>
            <w:r>
              <w:rPr>
                <w:rStyle w:val="IndexLink"/>
                <w:lang w:val="pt-BR" w:eastAsia="en-US" w:bidi="ar-SA"/>
              </w:rPr>
              <w:t>1  Lista de abreviaturas</w:t>
              <w:tab/>
              <w:t>2</w:t>
            </w:r>
          </w:hyperlink>
        </w:p>
        <w:p>
          <w:pPr>
            <w:pStyle w:val="Contents1"/>
            <w:tabs>
              <w:tab w:val="clear" w:pos="9360"/>
              <w:tab w:val="right" w:pos="9638" w:leader="dot"/>
            </w:tabs>
            <w:rPr/>
          </w:pPr>
          <w:hyperlink w:anchor="__RefHeading___Toc3296_2665529824">
            <w:r>
              <w:rPr>
                <w:webHidden/>
                <w:rStyle w:val="IndexLink"/>
                <w:vanish w:val="false"/>
                <w:lang w:val="pt-BR" w:eastAsia="en-US" w:bidi="ar-SA"/>
              </w:rPr>
              <w:t xml:space="preserve"> </w:t>
            </w:r>
            <w:r>
              <w:rPr>
                <w:rStyle w:val="IndexLink"/>
                <w:lang w:val="pt-BR" w:eastAsia="en-US" w:bidi="ar-SA"/>
              </w:rPr>
              <w:t>2  Contexto</w:t>
              <w:tab/>
              <w:t>2</w:t>
            </w:r>
          </w:hyperlink>
        </w:p>
        <w:p>
          <w:pPr>
            <w:pStyle w:val="Contents2"/>
            <w:tabs>
              <w:tab w:val="clear" w:pos="9077"/>
              <w:tab w:val="right" w:pos="9638" w:leader="dot"/>
            </w:tabs>
            <w:rPr/>
          </w:pPr>
          <w:hyperlink w:anchor="__RefHeading___Toc3298_2665529824">
            <w:r>
              <w:rPr>
                <w:webHidden/>
                <w:rStyle w:val="IndexLink"/>
                <w:vanish w:val="false"/>
                <w:lang w:val="pt-BR" w:eastAsia="en-US" w:bidi="ar-SA"/>
              </w:rPr>
              <w:t xml:space="preserve"> </w:t>
            </w:r>
            <w:r>
              <w:rPr>
                <w:rStyle w:val="IndexLink"/>
                <w:lang w:val="pt-BR" w:eastAsia="en-US" w:bidi="ar-SA"/>
              </w:rPr>
              <w:t>2.1  Objetivos</w:t>
              <w:tab/>
              <w:t>2</w:t>
            </w:r>
          </w:hyperlink>
        </w:p>
        <w:p>
          <w:pPr>
            <w:pStyle w:val="Contents2"/>
            <w:tabs>
              <w:tab w:val="clear" w:pos="9077"/>
              <w:tab w:val="right" w:pos="9638" w:leader="dot"/>
            </w:tabs>
            <w:rPr/>
          </w:pPr>
          <w:hyperlink w:anchor="__RefHeading___Toc3300_2665529824">
            <w:r>
              <w:rPr>
                <w:webHidden/>
                <w:rStyle w:val="IndexLink"/>
                <w:vanish w:val="false"/>
                <w:lang w:val="pt-BR" w:eastAsia="en-US" w:bidi="ar-SA"/>
              </w:rPr>
              <w:t xml:space="preserve"> </w:t>
            </w:r>
            <w:r>
              <w:rPr>
                <w:rStyle w:val="IndexLink"/>
                <w:lang w:val="pt-BR" w:eastAsia="en-US" w:bidi="ar-SA"/>
              </w:rPr>
              <w:t>2.2  Hipóteses</w:t>
              <w:tab/>
              <w:t>2</w:t>
            </w:r>
          </w:hyperlink>
        </w:p>
        <w:p>
          <w:pPr>
            <w:pStyle w:val="Contents2"/>
            <w:tabs>
              <w:tab w:val="clear" w:pos="9077"/>
              <w:tab w:val="right" w:pos="9638" w:leader="dot"/>
            </w:tabs>
            <w:rPr/>
          </w:pPr>
          <w:hyperlink w:anchor="__RefHeading___Toc3302_2665529824">
            <w:r>
              <w:rPr>
                <w:webHidden/>
                <w:rStyle w:val="IndexLink"/>
                <w:vanish w:val="false"/>
                <w:lang w:val="pt-BR" w:eastAsia="en-US" w:bidi="ar-SA"/>
              </w:rPr>
              <w:t xml:space="preserve"> </w:t>
            </w:r>
            <w:r>
              <w:rPr>
                <w:rStyle w:val="IndexLink"/>
                <w:lang w:val="pt-BR" w:eastAsia="en-US" w:bidi="ar-SA"/>
              </w:rPr>
              <w:t>2.3  Desenho do estudo</w:t>
              <w:tab/>
              <w:t>2</w:t>
            </w:r>
          </w:hyperlink>
        </w:p>
        <w:p>
          <w:pPr>
            <w:pStyle w:val="Contents1"/>
            <w:tabs>
              <w:tab w:val="clear" w:pos="9360"/>
              <w:tab w:val="right" w:pos="9638" w:leader="dot"/>
            </w:tabs>
            <w:rPr/>
          </w:pPr>
          <w:hyperlink w:anchor="__RefHeading___Toc3304_2665529824">
            <w:r>
              <w:rPr>
                <w:webHidden/>
                <w:rStyle w:val="IndexLink"/>
                <w:vanish w:val="false"/>
                <w:lang w:val="pt-BR" w:eastAsia="en-US" w:bidi="ar-SA"/>
              </w:rPr>
              <w:t xml:space="preserve"> </w:t>
            </w:r>
            <w:r>
              <w:rPr>
                <w:rStyle w:val="IndexLink"/>
                <w:lang w:val="pt-BR" w:eastAsia="en-US" w:bidi="ar-SA"/>
              </w:rPr>
              <w:t>3  Dados</w:t>
              <w:tab/>
              <w:t>2</w:t>
            </w:r>
          </w:hyperlink>
        </w:p>
        <w:p>
          <w:pPr>
            <w:pStyle w:val="Contents2"/>
            <w:tabs>
              <w:tab w:val="clear" w:pos="9077"/>
              <w:tab w:val="right" w:pos="9638" w:leader="dot"/>
            </w:tabs>
            <w:rPr/>
          </w:pPr>
          <w:hyperlink w:anchor="__RefHeading___Toc3306_2665529824">
            <w:r>
              <w:rPr>
                <w:webHidden/>
                <w:rStyle w:val="IndexLink"/>
                <w:vanish w:val="false"/>
                <w:lang w:val="pt-BR" w:eastAsia="en-US" w:bidi="ar-SA"/>
              </w:rPr>
              <w:t xml:space="preserve"> </w:t>
            </w:r>
            <w:r>
              <w:rPr>
                <w:rStyle w:val="IndexLink"/>
                <w:lang w:val="pt-BR" w:eastAsia="en-US" w:bidi="ar-SA"/>
              </w:rPr>
              <w:t>3.1  Dados brutos</w:t>
              <w:tab/>
              <w:t>2</w:t>
            </w:r>
          </w:hyperlink>
        </w:p>
        <w:p>
          <w:pPr>
            <w:pStyle w:val="Contents2"/>
            <w:tabs>
              <w:tab w:val="clear" w:pos="9077"/>
              <w:tab w:val="right" w:pos="9638" w:leader="dot"/>
            </w:tabs>
            <w:rPr/>
          </w:pPr>
          <w:hyperlink w:anchor="__RefHeading___Toc3308_2665529824">
            <w:r>
              <w:rPr>
                <w:webHidden/>
                <w:rStyle w:val="IndexLink"/>
                <w:vanish w:val="false"/>
                <w:lang w:val="pt-BR" w:eastAsia="en-US" w:bidi="ar-SA"/>
              </w:rPr>
              <w:t xml:space="preserve"> </w:t>
            </w:r>
            <w:r>
              <w:rPr>
                <w:rStyle w:val="IndexLink"/>
                <w:lang w:val="pt-BR" w:eastAsia="en-US" w:bidi="ar-SA"/>
              </w:rPr>
              <w:t>3.2  Tabela de dados analíticos</w:t>
              <w:tab/>
              <w:t>3</w:t>
            </w:r>
          </w:hyperlink>
        </w:p>
        <w:p>
          <w:pPr>
            <w:pStyle w:val="Contents1"/>
            <w:tabs>
              <w:tab w:val="clear" w:pos="9360"/>
              <w:tab w:val="right" w:pos="9638" w:leader="dot"/>
            </w:tabs>
            <w:rPr/>
          </w:pPr>
          <w:hyperlink w:anchor="__RefHeading___Toc3310_2665529824">
            <w:r>
              <w:rPr>
                <w:webHidden/>
                <w:rStyle w:val="IndexLink"/>
                <w:vanish w:val="false"/>
                <w:lang w:val="pt-BR" w:eastAsia="en-US" w:bidi="ar-SA"/>
              </w:rPr>
              <w:t xml:space="preserve"> </w:t>
            </w:r>
            <w:r>
              <w:rPr>
                <w:rStyle w:val="IndexLink"/>
                <w:lang w:val="pt-BR" w:eastAsia="en-US" w:bidi="ar-SA"/>
              </w:rPr>
              <w:t>4  Variáveis do estudo</w:t>
              <w:tab/>
              <w:t>4</w:t>
            </w:r>
          </w:hyperlink>
        </w:p>
        <w:p>
          <w:pPr>
            <w:pStyle w:val="Contents2"/>
            <w:tabs>
              <w:tab w:val="clear" w:pos="9077"/>
              <w:tab w:val="right" w:pos="9638" w:leader="dot"/>
            </w:tabs>
            <w:rPr/>
          </w:pPr>
          <w:hyperlink w:anchor="__RefHeading___Toc3312_2665529824">
            <w:r>
              <w:rPr>
                <w:webHidden/>
                <w:rStyle w:val="IndexLink"/>
                <w:vanish w:val="false"/>
                <w:lang w:val="pt-BR" w:eastAsia="en-US" w:bidi="ar-SA"/>
              </w:rPr>
              <w:t xml:space="preserve"> </w:t>
            </w:r>
            <w:r>
              <w:rPr>
                <w:rStyle w:val="IndexLink"/>
                <w:lang w:val="pt-BR" w:eastAsia="en-US" w:bidi="ar-SA"/>
              </w:rPr>
              <w:t>4.1  Desfechos primário e secundários</w:t>
              <w:tab/>
              <w:t>4</w:t>
            </w:r>
          </w:hyperlink>
        </w:p>
        <w:p>
          <w:pPr>
            <w:pStyle w:val="Contents2"/>
            <w:tabs>
              <w:tab w:val="clear" w:pos="9077"/>
              <w:tab w:val="right" w:pos="9638" w:leader="dot"/>
            </w:tabs>
            <w:rPr/>
          </w:pPr>
          <w:hyperlink w:anchor="__RefHeading___Toc3314_2665529824">
            <w:r>
              <w:rPr>
                <w:webHidden/>
                <w:rStyle w:val="IndexLink"/>
                <w:vanish w:val="false"/>
                <w:lang w:val="pt-BR" w:eastAsia="en-US" w:bidi="ar-SA"/>
              </w:rPr>
              <w:t xml:space="preserve"> </w:t>
            </w:r>
            <w:r>
              <w:rPr>
                <w:rStyle w:val="IndexLink"/>
                <w:lang w:val="pt-BR" w:eastAsia="en-US" w:bidi="ar-SA"/>
              </w:rPr>
              <w:t>4.2  Covariáveis</w:t>
              <w:tab/>
              <w:t>4</w:t>
            </w:r>
          </w:hyperlink>
        </w:p>
        <w:p>
          <w:pPr>
            <w:pStyle w:val="Contents1"/>
            <w:tabs>
              <w:tab w:val="clear" w:pos="9360"/>
              <w:tab w:val="right" w:pos="9638" w:leader="dot"/>
            </w:tabs>
            <w:rPr/>
          </w:pPr>
          <w:hyperlink w:anchor="__RefHeading___Toc3316_2665529824">
            <w:r>
              <w:rPr>
                <w:webHidden/>
                <w:rStyle w:val="IndexLink"/>
                <w:vanish w:val="false"/>
                <w:lang w:val="pt-BR" w:eastAsia="en-US" w:bidi="ar-SA"/>
              </w:rPr>
              <w:t xml:space="preserve"> </w:t>
            </w:r>
            <w:r>
              <w:rPr>
                <w:rStyle w:val="IndexLink"/>
                <w:lang w:val="pt-BR" w:eastAsia="en-US" w:bidi="ar-SA"/>
              </w:rPr>
              <w:t>5  Métodos estatísticos</w:t>
              <w:tab/>
              <w:t>4</w:t>
            </w:r>
          </w:hyperlink>
        </w:p>
        <w:p>
          <w:pPr>
            <w:pStyle w:val="Contents2"/>
            <w:tabs>
              <w:tab w:val="clear" w:pos="9077"/>
              <w:tab w:val="right" w:pos="9638" w:leader="dot"/>
            </w:tabs>
            <w:rPr/>
          </w:pPr>
          <w:hyperlink w:anchor="__RefHeading___Toc3318_2665529824">
            <w:r>
              <w:rPr>
                <w:webHidden/>
                <w:rStyle w:val="IndexLink"/>
                <w:vanish w:val="false"/>
                <w:lang w:val="pt-BR" w:eastAsia="en-US" w:bidi="ar-SA"/>
              </w:rPr>
              <w:t xml:space="preserve"> </w:t>
            </w:r>
            <w:r>
              <w:rPr>
                <w:rStyle w:val="IndexLink"/>
                <w:lang w:val="pt-BR" w:eastAsia="en-US" w:bidi="ar-SA"/>
              </w:rPr>
              <w:t>5.1  Análises estatísticas</w:t>
              <w:tab/>
              <w:t>4</w:t>
            </w:r>
          </w:hyperlink>
        </w:p>
        <w:p>
          <w:pPr>
            <w:pStyle w:val="Contents3"/>
            <w:tabs>
              <w:tab w:val="clear" w:pos="8794"/>
              <w:tab w:val="right" w:pos="9638" w:leader="dot"/>
            </w:tabs>
            <w:rPr/>
          </w:pPr>
          <w:hyperlink w:anchor="__RefHeading___Toc3320_2665529824">
            <w:r>
              <w:rPr>
                <w:webHidden/>
                <w:rStyle w:val="IndexLink"/>
                <w:vanish w:val="false"/>
                <w:lang w:val="pt-BR" w:eastAsia="en-US" w:bidi="ar-SA"/>
              </w:rPr>
              <w:t xml:space="preserve"> </w:t>
            </w:r>
            <w:r>
              <w:rPr>
                <w:rStyle w:val="IndexLink"/>
                <w:lang w:val="pt-BR" w:eastAsia="en-US" w:bidi="ar-SA"/>
              </w:rPr>
              <w:t>5.1.1  Análise descritiva</w:t>
              <w:tab/>
              <w:t>4</w:t>
            </w:r>
          </w:hyperlink>
        </w:p>
        <w:p>
          <w:pPr>
            <w:pStyle w:val="Contents3"/>
            <w:tabs>
              <w:tab w:val="clear" w:pos="8794"/>
              <w:tab w:val="right" w:pos="9638" w:leader="dot"/>
            </w:tabs>
            <w:rPr/>
          </w:pPr>
          <w:hyperlink w:anchor="__RefHeading___Toc3322_2665529824">
            <w:r>
              <w:rPr>
                <w:webHidden/>
                <w:rStyle w:val="IndexLink"/>
                <w:vanish w:val="false"/>
                <w:lang w:val="pt-BR" w:eastAsia="en-US" w:bidi="ar-SA"/>
              </w:rPr>
              <w:t xml:space="preserve"> </w:t>
            </w:r>
            <w:r>
              <w:rPr>
                <w:rStyle w:val="IndexLink"/>
                <w:lang w:val="pt-BR" w:eastAsia="en-US" w:bidi="ar-SA"/>
              </w:rPr>
              <w:t>5.1.2  Análise inferencial</w:t>
              <w:tab/>
              <w:t>5</w:t>
            </w:r>
          </w:hyperlink>
        </w:p>
        <w:p>
          <w:pPr>
            <w:pStyle w:val="Contents3"/>
            <w:tabs>
              <w:tab w:val="clear" w:pos="8794"/>
              <w:tab w:val="right" w:pos="9638" w:leader="dot"/>
            </w:tabs>
            <w:rPr/>
          </w:pPr>
          <w:hyperlink w:anchor="__RefHeading___Toc3324_2665529824">
            <w:r>
              <w:rPr>
                <w:webHidden/>
                <w:rStyle w:val="IndexLink"/>
                <w:vanish w:val="false"/>
                <w:lang w:val="pt-BR" w:eastAsia="en-US" w:bidi="ar-SA"/>
              </w:rPr>
              <w:t xml:space="preserve"> </w:t>
            </w:r>
            <w:r>
              <w:rPr>
                <w:rStyle w:val="IndexLink"/>
                <w:lang w:val="pt-BR" w:eastAsia="en-US" w:bidi="ar-SA"/>
              </w:rPr>
              <w:t>5.1.3  Modelagem estatística</w:t>
              <w:tab/>
              <w:t>5</w:t>
            </w:r>
          </w:hyperlink>
        </w:p>
        <w:p>
          <w:pPr>
            <w:pStyle w:val="Contents3"/>
            <w:tabs>
              <w:tab w:val="clear" w:pos="8794"/>
              <w:tab w:val="right" w:pos="9638" w:leader="dot"/>
            </w:tabs>
            <w:rPr/>
          </w:pPr>
          <w:hyperlink w:anchor="__RefHeading___Toc3326_2665529824">
            <w:r>
              <w:rPr>
                <w:webHidden/>
                <w:rStyle w:val="IndexLink"/>
                <w:vanish w:val="false"/>
                <w:lang w:val="pt-BR" w:eastAsia="en-US" w:bidi="ar-SA"/>
              </w:rPr>
              <w:t xml:space="preserve"> </w:t>
            </w:r>
            <w:r>
              <w:rPr>
                <w:rStyle w:val="IndexLink"/>
                <w:lang w:val="pt-BR" w:eastAsia="en-US" w:bidi="ar-SA"/>
              </w:rPr>
              <w:t>5.1.4  Dados faltantes</w:t>
              <w:tab/>
              <w:t>5</w:t>
            </w:r>
          </w:hyperlink>
        </w:p>
        <w:p>
          <w:pPr>
            <w:pStyle w:val="Contents2"/>
            <w:tabs>
              <w:tab w:val="clear" w:pos="9077"/>
              <w:tab w:val="right" w:pos="9638" w:leader="dot"/>
            </w:tabs>
            <w:rPr/>
          </w:pPr>
          <w:hyperlink w:anchor="__RefHeading___Toc3328_2665529824">
            <w:r>
              <w:rPr>
                <w:webHidden/>
                <w:rStyle w:val="IndexLink"/>
                <w:vanish w:val="false"/>
                <w:lang w:val="pt-BR" w:eastAsia="en-US" w:bidi="ar-SA"/>
              </w:rPr>
              <w:t xml:space="preserve"> </w:t>
            </w:r>
            <w:r>
              <w:rPr>
                <w:rStyle w:val="IndexLink"/>
                <w:lang w:val="pt-BR" w:eastAsia="en-US" w:bidi="ar-SA"/>
              </w:rPr>
              <w:t>5.2  Significância e Intervalos de Confiança</w:t>
              <w:tab/>
              <w:t>5</w:t>
            </w:r>
          </w:hyperlink>
        </w:p>
        <w:p>
          <w:pPr>
            <w:pStyle w:val="Contents2"/>
            <w:tabs>
              <w:tab w:val="clear" w:pos="9077"/>
              <w:tab w:val="right" w:pos="9638" w:leader="dot"/>
            </w:tabs>
            <w:rPr/>
          </w:pPr>
          <w:hyperlink w:anchor="__RefHeading___Toc3330_2665529824">
            <w:r>
              <w:rPr>
                <w:webHidden/>
                <w:rStyle w:val="IndexLink"/>
                <w:vanish w:val="false"/>
                <w:lang w:val="pt-BR" w:eastAsia="en-US" w:bidi="ar-SA"/>
              </w:rPr>
              <w:t xml:space="preserve"> </w:t>
            </w:r>
            <w:r>
              <w:rPr>
                <w:rStyle w:val="IndexLink"/>
                <w:lang w:val="pt-BR" w:eastAsia="en-US" w:bidi="ar-SA"/>
              </w:rPr>
              <w:t>5.3  Tamanho da amostra e Poder</w:t>
              <w:tab/>
              <w:t>5</w:t>
            </w:r>
          </w:hyperlink>
        </w:p>
        <w:p>
          <w:pPr>
            <w:pStyle w:val="Contents2"/>
            <w:tabs>
              <w:tab w:val="clear" w:pos="9077"/>
              <w:tab w:val="right" w:pos="9638" w:leader="dot"/>
            </w:tabs>
            <w:rPr/>
          </w:pPr>
          <w:hyperlink w:anchor="__RefHeading___Toc3332_2665529824">
            <w:r>
              <w:rPr>
                <w:webHidden/>
                <w:rStyle w:val="IndexLink"/>
                <w:vanish w:val="false"/>
                <w:lang w:val="pt-BR" w:eastAsia="en-US" w:bidi="ar-SA"/>
              </w:rPr>
              <w:t xml:space="preserve"> </w:t>
            </w:r>
            <w:r>
              <w:rPr>
                <w:rStyle w:val="IndexLink"/>
                <w:lang w:val="pt-BR" w:eastAsia="en-US" w:bidi="ar-SA"/>
              </w:rPr>
              <w:t>5.4  Softwares utilizados</w:t>
              <w:tab/>
              <w:t>5</w:t>
            </w:r>
          </w:hyperlink>
        </w:p>
        <w:p>
          <w:pPr>
            <w:pStyle w:val="Contents1"/>
            <w:tabs>
              <w:tab w:val="clear" w:pos="9360"/>
              <w:tab w:val="right" w:pos="9638" w:leader="dot"/>
            </w:tabs>
            <w:rPr/>
          </w:pPr>
          <w:hyperlink w:anchor="__RefHeading___Toc3334_2665529824">
            <w:r>
              <w:rPr>
                <w:webHidden/>
                <w:rStyle w:val="IndexLink"/>
                <w:vanish w:val="false"/>
                <w:lang w:val="pt-BR" w:eastAsia="en-US" w:bidi="ar-SA"/>
              </w:rPr>
              <w:t xml:space="preserve"> </w:t>
            </w:r>
            <w:r>
              <w:rPr>
                <w:rStyle w:val="IndexLink"/>
                <w:lang w:val="pt-BR" w:eastAsia="en-US" w:bidi="ar-SA"/>
              </w:rPr>
              <w:t>6  Observações e limitações</w:t>
              <w:tab/>
              <w:t>5</w:t>
            </w:r>
          </w:hyperlink>
        </w:p>
        <w:p>
          <w:pPr>
            <w:pStyle w:val="Contents1"/>
            <w:tabs>
              <w:tab w:val="clear" w:pos="9360"/>
              <w:tab w:val="right" w:pos="9638" w:leader="dot"/>
            </w:tabs>
            <w:rPr/>
          </w:pPr>
          <w:hyperlink w:anchor="__RefHeading___Toc3336_2665529824">
            <w:r>
              <w:rPr>
                <w:webHidden/>
                <w:rStyle w:val="IndexLink"/>
                <w:vanish w:val="false"/>
                <w:lang w:val="pt-BR" w:eastAsia="en-US" w:bidi="ar-SA"/>
              </w:rPr>
              <w:t xml:space="preserve"> </w:t>
            </w:r>
            <w:r>
              <w:rPr>
                <w:rStyle w:val="IndexLink"/>
                <w:lang w:val="pt-BR" w:eastAsia="en-US" w:bidi="ar-SA"/>
              </w:rPr>
              <w:t>7  Referências</w:t>
              <w:tab/>
              <w:t>6</w:t>
            </w:r>
          </w:hyperlink>
        </w:p>
        <w:p>
          <w:pPr>
            <w:pStyle w:val="Contents1"/>
            <w:tabs>
              <w:tab w:val="clear" w:pos="9360"/>
              <w:tab w:val="right" w:pos="9638" w:leader="dot"/>
            </w:tabs>
            <w:rPr/>
          </w:pPr>
          <w:hyperlink w:anchor="__RefHeading___Toc3338_2665529824">
            <w:r>
              <w:rPr>
                <w:webHidden/>
                <w:rStyle w:val="IndexLink"/>
                <w:vanish w:val="false"/>
                <w:lang w:val="pt-BR" w:eastAsia="en-US" w:bidi="ar-SA"/>
              </w:rPr>
              <w:t xml:space="preserve"> </w:t>
            </w:r>
            <w:r>
              <w:rPr>
                <w:rStyle w:val="IndexLink"/>
                <w:lang w:val="pt-BR" w:eastAsia="en-US" w:bidi="ar-SA"/>
              </w:rPr>
              <w:t>8  Apêndice</w:t>
              <w:tab/>
              <w:t>6</w:t>
            </w:r>
          </w:hyperlink>
        </w:p>
        <w:p>
          <w:pPr>
            <w:pStyle w:val="Contents2"/>
            <w:tabs>
              <w:tab w:val="clear" w:pos="9077"/>
              <w:tab w:val="right" w:pos="9638" w:leader="dot"/>
            </w:tabs>
            <w:rPr/>
          </w:pPr>
          <w:hyperlink w:anchor="__RefHeading___Toc3340_2665529824">
            <w:r>
              <w:rPr>
                <w:webHidden/>
                <w:rStyle w:val="IndexLink"/>
                <w:vanish w:val="false"/>
                <w:lang w:val="pt-BR" w:eastAsia="en-US" w:bidi="ar-SA"/>
              </w:rPr>
              <w:t xml:space="preserve"> </w:t>
            </w:r>
            <w:r>
              <w:rPr>
                <w:rStyle w:val="IndexLink"/>
                <w:lang w:val="pt-BR" w:eastAsia="en-US" w:bidi="ar-SA"/>
              </w:rPr>
              <w:t>8.1  Disponibilidade</w:t>
              <w:tab/>
              <w:t>6</w:t>
            </w:r>
          </w:hyperlink>
          <w:r>
            <w:rPr>
              <w:rStyle w:val="IndexLink"/>
              <w:lang w:val="pt-BR" w:eastAsia="en-US" w:bidi="ar-SA"/>
            </w:rPr>
            <w:fldChar w:fldCharType="end"/>
          </w:r>
        </w:p>
      </w:sdtContent>
    </w:sdt>
    <w:p>
      <w:pPr>
        <w:pStyle w:val="Normal"/>
        <w:rPr>
          <w:lang w:val="pt-BR" w:eastAsia="en-US" w:bidi="ar-SA"/>
        </w:rPr>
      </w:pPr>
      <w:r>
        <w:rPr>
          <w:lang w:val="pt-BR" w:eastAsia="en-US" w:bidi="ar-SA"/>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lang w:val="pt-BR" w:eastAsia="en-US" w:bidi="ar-SA"/>
        </w:rPr>
      </w:pPr>
      <w:r>
        <w:rPr>
          <w:lang w:val="pt-BR" w:eastAsia="en-US" w:bidi="ar-SA"/>
        </w:rPr>
      </w:r>
      <w:r>
        <w:br w:type="page"/>
      </w:r>
    </w:p>
    <w:p>
      <w:pPr>
        <w:pStyle w:val="Title"/>
        <w:rPr>
          <w:lang w:val="pt-BR" w:eastAsia="en-US" w:bidi="ar-SA"/>
        </w:rPr>
      </w:pPr>
      <w:r>
        <w:rPr>
          <w:lang w:val="pt-BR" w:eastAsia="en-US" w:bidi="ar-SA"/>
        </w:rPr>
        <w:t>Plano Analítico para Associação entre vacinação de COVID-19 e internações por SRAG em idosos nas áreas programáticas do Rio de Janeiro/RJ em 2021</w:t>
      </w:r>
    </w:p>
    <w:p>
      <w:pPr>
        <w:pStyle w:val="TextBody"/>
        <w:rPr>
          <w:lang w:val="pt-BR" w:eastAsia="en-US" w:bidi="ar-SA"/>
        </w:rPr>
      </w:pPr>
      <w:r>
        <w:rPr>
          <w:b/>
          <w:bCs/>
          <w:lang w:val="pt-BR" w:eastAsia="en-US" w:bidi="ar-SA"/>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625"/>
        <w:gridCol w:w="6012"/>
      </w:tblGrid>
      <w:tr>
        <w:trPr/>
        <w:tc>
          <w:tcPr>
            <w:tcW w:w="36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Versão</w:t>
            </w:r>
          </w:p>
        </w:tc>
        <w:tc>
          <w:tcPr>
            <w:tcW w:w="601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b/>
                <w:bCs/>
                <w:i w:val="false"/>
                <w:iCs w:val="false"/>
                <w:strike w:val="false"/>
                <w:dstrike w:val="false"/>
                <w:outline w:val="false"/>
                <w:shadow w:val="false"/>
                <w:color w:val="000000"/>
                <w:sz w:val="22"/>
                <w:szCs w:val="22"/>
                <w:u w:val="none"/>
                <w:lang w:val="pt-BR" w:eastAsia="en-US" w:bidi="ar-SA"/>
              </w:rPr>
              <w:t>Alterações</w:t>
            </w:r>
          </w:p>
        </w:tc>
      </w:tr>
      <w:tr>
        <w:trPr/>
        <w:tc>
          <w:tcPr>
            <w:tcW w:w="3625" w:type="dxa"/>
            <w:tcBorders>
              <w:left w:val="single" w:sz="4" w:space="0" w:color="000000"/>
              <w:bottom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01</w:t>
            </w:r>
          </w:p>
        </w:tc>
        <w:tc>
          <w:tcPr>
            <w:tcW w:w="6012" w:type="dxa"/>
            <w:tcBorders>
              <w:left w:val="single" w:sz="4" w:space="0" w:color="000000"/>
              <w:bottom w:val="single" w:sz="4" w:space="0" w:color="000000"/>
              <w:right w:val="single" w:sz="4" w:space="0" w:color="000000"/>
            </w:tcBorders>
            <w:vAlign w:val="center"/>
          </w:tcPr>
          <w:p>
            <w:pPr>
              <w:pStyle w:val="Compact"/>
              <w:widowControl w:val="false"/>
              <w:jc w:val="center"/>
              <w:rPr>
                <w:lang w:val="pt-BR" w:eastAsia="en-US" w:bidi="ar-SA"/>
              </w:rPr>
            </w:pPr>
            <w:r>
              <w:rPr>
                <w:b w:val="false"/>
                <w:bCs w:val="false"/>
                <w:i w:val="false"/>
                <w:iCs w:val="false"/>
                <w:strike w:val="false"/>
                <w:dstrike w:val="false"/>
                <w:outline w:val="false"/>
                <w:shadow w:val="false"/>
                <w:color w:val="000000"/>
                <w:sz w:val="22"/>
                <w:szCs w:val="22"/>
                <w:u w:val="none"/>
                <w:lang w:val="pt-BR" w:eastAsia="en-US" w:bidi="ar-SA"/>
              </w:rPr>
              <w:t>Versão inicial</w:t>
            </w:r>
          </w:p>
        </w:tc>
      </w:tr>
    </w:tbl>
    <w:p>
      <w:pPr>
        <w:pStyle w:val="Normal"/>
        <w:rPr>
          <w:lang w:val="pt-BR" w:eastAsia="en-US" w:bidi="ar-SA"/>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eastAsia="en-US" w:bidi="ar-SA"/>
        </w:rPr>
      </w:pPr>
      <w:bookmarkStart w:id="0" w:name="__RefHeading___Toc3294_2665529824"/>
      <w:bookmarkEnd w:id="0"/>
      <w:r>
        <w:rPr>
          <w:lang w:val="pt-BR" w:eastAsia="en-US" w:bidi="ar-SA"/>
        </w:rPr>
        <w:t>Lista de abreviaturas</w:t>
      </w:r>
    </w:p>
    <w:p>
      <w:pPr>
        <w:pStyle w:val="Compact"/>
        <w:numPr>
          <w:ilvl w:val="0"/>
          <w:numId w:val="2"/>
        </w:numPr>
        <w:rPr>
          <w:lang w:val="pt-BR" w:eastAsia="en-US" w:bidi="ar-SA"/>
        </w:rPr>
      </w:pPr>
      <w:r>
        <w:rPr>
          <w:lang w:val="pt-BR" w:eastAsia="en-US" w:bidi="ar-SA"/>
        </w:rPr>
        <w:t>AP: Área programática</w:t>
      </w:r>
    </w:p>
    <w:p>
      <w:pPr>
        <w:pStyle w:val="Compact"/>
        <w:numPr>
          <w:ilvl w:val="0"/>
          <w:numId w:val="2"/>
        </w:numPr>
        <w:rPr>
          <w:lang w:val="pt-BR" w:eastAsia="en-US" w:bidi="ar-SA"/>
        </w:rPr>
      </w:pPr>
      <w:r>
        <w:rPr>
          <w:lang w:val="pt-BR" w:eastAsia="en-US" w:bidi="ar-SA"/>
        </w:rPr>
        <w:t>DP: desvio padrão</w:t>
      </w:r>
    </w:p>
    <w:p>
      <w:pPr>
        <w:pStyle w:val="Compact"/>
        <w:numPr>
          <w:ilvl w:val="0"/>
          <w:numId w:val="2"/>
        </w:numPr>
        <w:rPr>
          <w:lang w:val="pt-BR" w:eastAsia="en-US" w:bidi="ar-SA"/>
        </w:rPr>
      </w:pPr>
      <w:r>
        <w:rPr>
          <w:lang w:val="pt-BR" w:eastAsia="en-US" w:bidi="ar-SA"/>
        </w:rPr>
        <w:t>IC: intervalo de confiança</w:t>
      </w:r>
    </w:p>
    <w:p>
      <w:pPr>
        <w:pStyle w:val="Compact"/>
        <w:numPr>
          <w:ilvl w:val="0"/>
          <w:numId w:val="2"/>
        </w:numPr>
        <w:rPr>
          <w:lang w:val="pt-BR" w:eastAsia="en-US" w:bidi="ar-SA"/>
        </w:rPr>
      </w:pPr>
      <w:bookmarkStart w:id="1" w:name="lista-de-abreviaturas"/>
      <w:r>
        <w:rPr>
          <w:lang w:val="pt-BR" w:eastAsia="en-US" w:bidi="ar-SA"/>
        </w:rPr>
        <w:t>SRAG: Síndrome respiratória aguda grave</w:t>
      </w:r>
      <w:bookmarkEnd w:id="1"/>
    </w:p>
    <w:p>
      <w:pPr>
        <w:pStyle w:val="Heading1"/>
        <w:rPr>
          <w:lang w:val="pt-BR" w:eastAsia="en-US" w:bidi="ar-SA"/>
        </w:rPr>
      </w:pPr>
      <w:bookmarkStart w:id="2" w:name="__RefHeading___Toc3296_2665529824"/>
      <w:bookmarkEnd w:id="2"/>
      <w:r>
        <w:rPr>
          <w:lang w:val="pt-BR" w:eastAsia="en-US" w:bidi="ar-SA"/>
        </w:rPr>
        <w:t>Contexto</w:t>
      </w:r>
    </w:p>
    <w:p>
      <w:pPr>
        <w:pStyle w:val="Heading2"/>
        <w:rPr>
          <w:lang w:val="pt-BR" w:eastAsia="en-US" w:bidi="ar-SA"/>
        </w:rPr>
      </w:pPr>
      <w:bookmarkStart w:id="3" w:name="__RefHeading___Toc3298_2665529824"/>
      <w:bookmarkEnd w:id="3"/>
      <w:r>
        <w:rPr>
          <w:lang w:val="pt-BR" w:eastAsia="en-US" w:bidi="ar-SA"/>
        </w:rPr>
        <w:t>Objetivos</w:t>
      </w:r>
    </w:p>
    <w:p>
      <w:pPr>
        <w:pStyle w:val="FirstParagraph"/>
        <w:rPr>
          <w:lang w:val="pt-BR" w:eastAsia="en-US" w:bidi="ar-SA"/>
        </w:rPr>
      </w:pPr>
      <w:bookmarkStart w:id="4" w:name="objetivos"/>
      <w:r>
        <w:rPr>
          <w:lang w:val="pt-BR" w:eastAsia="en-US" w:bidi="ar-SA"/>
        </w:rPr>
        <w:t>Correlacionar as tendências de internação hospitalar por SRAG e vacinação de COVID-19 em idosos em cada área programática do município do Rio de Janeiro em 2021.</w:t>
      </w:r>
      <w:bookmarkEnd w:id="4"/>
    </w:p>
    <w:p>
      <w:pPr>
        <w:pStyle w:val="Heading2"/>
        <w:rPr>
          <w:lang w:val="pt-BR" w:eastAsia="en-US" w:bidi="ar-SA"/>
        </w:rPr>
      </w:pPr>
      <w:bookmarkStart w:id="5" w:name="__RefHeading___Toc3300_2665529824"/>
      <w:bookmarkEnd w:id="5"/>
      <w:r>
        <w:rPr>
          <w:lang w:val="pt-BR" w:eastAsia="en-US" w:bidi="ar-SA"/>
        </w:rPr>
        <w:t>Hipóteses</w:t>
      </w:r>
    </w:p>
    <w:p>
      <w:pPr>
        <w:pStyle w:val="FirstParagraph"/>
        <w:rPr>
          <w:lang w:val="pt-BR" w:eastAsia="en-US" w:bidi="ar-SA"/>
        </w:rPr>
      </w:pPr>
      <w:bookmarkStart w:id="6" w:name="hipóteses"/>
      <w:r>
        <w:rPr>
          <w:lang w:val="pt-BR" w:eastAsia="en-US" w:bidi="ar-SA"/>
        </w:rPr>
        <w:t>O aumento da taxa de vacinação está associado com uma redução do número de internações por SRAG em idosos.</w:t>
      </w:r>
      <w:bookmarkEnd w:id="6"/>
    </w:p>
    <w:p>
      <w:pPr>
        <w:pStyle w:val="Heading2"/>
        <w:rPr>
          <w:lang w:val="pt-BR" w:eastAsia="en-US" w:bidi="ar-SA"/>
        </w:rPr>
      </w:pPr>
      <w:bookmarkStart w:id="7" w:name="__RefHeading___Toc3302_2665529824"/>
      <w:bookmarkEnd w:id="7"/>
      <w:r>
        <w:rPr>
          <w:lang w:val="pt-BR" w:eastAsia="en-US" w:bidi="ar-SA"/>
        </w:rPr>
        <w:t>Desenho do estudo</w:t>
      </w:r>
    </w:p>
    <w:p>
      <w:pPr>
        <w:pStyle w:val="FirstParagraph"/>
        <w:rPr>
          <w:lang w:val="pt-BR" w:eastAsia="en-US" w:bidi="ar-SA"/>
        </w:rPr>
      </w:pPr>
      <w:bookmarkStart w:id="8" w:name="contexto"/>
      <w:bookmarkStart w:id="9" w:name="desenho-do-estudo"/>
      <w:r>
        <w:rPr>
          <w:lang w:val="pt-BR" w:eastAsia="en-US" w:bidi="ar-SA"/>
        </w:rPr>
        <w:t>Ecológico, com dados agregados das dez AP do município do Rio de Janeiro.</w:t>
      </w:r>
      <w:bookmarkEnd w:id="8"/>
      <w:bookmarkEnd w:id="9"/>
    </w:p>
    <w:p>
      <w:pPr>
        <w:pStyle w:val="Heading1"/>
        <w:rPr>
          <w:lang w:val="pt-BR" w:eastAsia="en-US" w:bidi="ar-SA"/>
        </w:rPr>
      </w:pPr>
      <w:bookmarkStart w:id="10" w:name="__RefHeading___Toc3304_2665529824"/>
      <w:bookmarkStart w:id="11" w:name="dados"/>
      <w:bookmarkEnd w:id="10"/>
      <w:bookmarkEnd w:id="11"/>
      <w:r>
        <w:rPr>
          <w:lang w:val="pt-BR" w:eastAsia="en-US" w:bidi="ar-SA"/>
        </w:rPr>
        <w:t>Dados</w:t>
      </w:r>
    </w:p>
    <w:p>
      <w:pPr>
        <w:pStyle w:val="Heading2"/>
        <w:rPr>
          <w:lang w:val="pt-BR" w:eastAsia="en-US" w:bidi="ar-SA"/>
        </w:rPr>
      </w:pPr>
      <w:bookmarkStart w:id="12" w:name="__RefHeading___Toc3306_2665529824"/>
      <w:bookmarkEnd w:id="12"/>
      <w:r>
        <w:rPr>
          <w:lang w:val="pt-BR" w:eastAsia="en-US" w:bidi="ar-SA"/>
        </w:rPr>
        <w:t>Dados brutos</w:t>
      </w:r>
    </w:p>
    <w:p>
      <w:pPr>
        <w:pStyle w:val="FirstParagraph"/>
        <w:rPr>
          <w:lang w:val="pt-BR" w:eastAsia="en-US" w:bidi="ar-SA"/>
        </w:rPr>
      </w:pPr>
      <w:r>
        <w:rPr>
          <w:lang w:val="pt-BR" w:eastAsia="en-US" w:bidi="ar-SA"/>
        </w:rPr>
        <w:t xml:space="preserve">Os dados brutos de vacinação de COVID-19 e internações por SRAG foram recebidos em diversas tabelas separadas, que foram tratadas previamente à junção em uma tabela única. As tabelas exibiam as contagens agregadas por AP em cada mês de 2021, e havia uma tabela para cada faixa etária avaliada no estudo (60-69 anos, 70-79 anos e 80 anos ou mais). Os dados de internações vieram de uma </w:t>
      </w:r>
      <w:r>
        <w:rPr>
          <w:rFonts w:eastAsia="Cambria" w:cs="" w:cstheme="minorBidi" w:eastAsiaTheme="minorHAnsi"/>
          <w:color w:val="auto"/>
          <w:kern w:val="0"/>
          <w:sz w:val="24"/>
          <w:szCs w:val="24"/>
          <w:lang w:val="pt-BR" w:eastAsia="en-US" w:bidi="ar-SA"/>
        </w:rPr>
        <w:t>ú</w:t>
      </w:r>
      <w:r>
        <w:rPr>
          <w:lang w:val="pt-BR" w:eastAsia="en-US" w:bidi="ar-SA"/>
        </w:rPr>
        <w:t>nica tabela, enquanto os dados de vacinação estavam adicionalmente segregados em tabelas por dose do esquema vacinal (“Dose 1”, “Dose 2 ou dose única” e “Dose de reforço”). Todos os dados disponíveis foram submetidos aos critérios de inclusão e exclusão: apenas dados de residentes das APs e referentes ao ano de 2021 foram incluídos na tabela. Erros de codificação de dados foram corrigidos nos processos de limpeza de dados. No total havia uma tabela com dados de internações, nove tabelas com dados de vacinação e duas tabelas de perfil epidemiológico (por sexo e por população total).</w:t>
      </w:r>
    </w:p>
    <w:p>
      <w:pPr>
        <w:pStyle w:val="TextBody"/>
        <w:rPr>
          <w:lang w:val="pt-BR" w:eastAsia="en-US" w:bidi="ar-SA"/>
        </w:rPr>
      </w:pPr>
      <w:r>
        <w:rPr>
          <w:lang w:val="pt-BR" w:eastAsia="en-US" w:bidi="ar-SA"/>
        </w:rPr>
        <w:t>Na primeira etapa as três tabelas de cada variável, correspondendo às três faixas etárias, foram consolidadas usando o código da AP e o mês como chave de join. Isto resultou em uma tabela com todas as contagens de cada variável (internações e vacinação). Na segunda etapa as duas tabelas foram consolidadas em uma tabela única com todos os valores mensais das internações e de vacinação, estratificados por AP e por mês.</w:t>
      </w:r>
    </w:p>
    <w:p>
      <w:pPr>
        <w:pStyle w:val="TextBody"/>
        <w:rPr>
          <w:lang w:val="pt-BR" w:eastAsia="en-US" w:bidi="ar-SA"/>
        </w:rPr>
      </w:pPr>
      <w:bookmarkStart w:id="13" w:name="dados-brutos"/>
      <w:r>
        <w:rPr>
          <w:lang w:val="pt-BR" w:eastAsia="en-US" w:bidi="ar-SA"/>
        </w:rPr>
        <w:t>Esta tabela final de dados brutos foi pós processada conforme descrito na próxima seção. A tabela de dados de perfil epidemiológico foi mantida separada da tabela analítica (Ver observações).</w:t>
      </w:r>
      <w:bookmarkEnd w:id="13"/>
    </w:p>
    <w:p>
      <w:pPr>
        <w:pStyle w:val="Heading2"/>
        <w:rPr>
          <w:lang w:val="pt-BR" w:eastAsia="en-US" w:bidi="ar-SA"/>
        </w:rPr>
      </w:pPr>
      <w:bookmarkStart w:id="14" w:name="__RefHeading___Toc3308_2665529824"/>
      <w:bookmarkStart w:id="15" w:name="tabela-de-dados-analíticos"/>
      <w:bookmarkEnd w:id="14"/>
      <w:bookmarkEnd w:id="15"/>
      <w:r>
        <w:rPr>
          <w:lang w:val="pt-BR" w:eastAsia="en-US" w:bidi="ar-SA"/>
        </w:rPr>
        <w:t>Tabela de dados analíticos</w:t>
      </w:r>
    </w:p>
    <w:p>
      <w:pPr>
        <w:pStyle w:val="FirstParagraph"/>
        <w:rPr>
          <w:lang w:val="pt-BR" w:eastAsia="en-US" w:bidi="ar-SA"/>
        </w:rPr>
      </w:pPr>
      <w:r>
        <w:rPr>
          <w:lang w:val="pt-BR" w:eastAsia="en-US" w:bidi="ar-SA"/>
        </w:rPr>
        <w:t>Todas as variáveis da tabela de dados analíticos foram identificadas de acordo com as descrições das variáveis, e os valores foram identificados de acordo com o dicionário de dados providenciado. Estas identificações possibilitarão a criação de tabelas de resultados com qualidade de produção final. Os valores numéricos referentes aos meses de 2021 foram convertidos para datas putativas (primeiro dia de cada mês) para viabilizar a visualização das curvas de tendência na escala temporal de forma interpretável.</w:t>
      </w:r>
    </w:p>
    <w:p>
      <w:pPr>
        <w:pStyle w:val="TextBody"/>
        <w:rPr>
          <w:lang w:val="pt-BR" w:eastAsia="en-US" w:bidi="ar-SA"/>
        </w:rPr>
      </w:pPr>
      <w:r>
        <w:rPr>
          <w:lang w:val="pt-BR" w:eastAsia="en-US" w:bidi="ar-SA"/>
        </w:rPr>
        <w:t>Considerando três faixas etárias, em dez AP, contabilizando três etapas do esquema vacinal durante 12 meses, o tamanho teórico da tabela de dados seria equivalente a 1080 observações. Depois dos procedimentos de limpeza e seleção 6 variáveis foram incluídas na análise com 870 observações. A tabela analítica não foi preenchida com valores nulos representando a estrutura maximal teórica, incluindo apenas as observações disponíveis nos dados brutos. Nenhuma observação adicional foi excluída nesta etapa. A Tabela 1 mostra a estrutura dos dados analíticos.</w:t>
      </w:r>
    </w:p>
    <w:p>
      <w:pPr>
        <w:pStyle w:val="TableCaption"/>
        <w:rPr>
          <w:b/>
          <w:b/>
          <w:bCs/>
        </w:rPr>
      </w:pPr>
      <w:r>
        <w:rPr>
          <w:b/>
          <w:bCs/>
        </w:rPr>
      </w:r>
      <w:r>
        <w:br w:type="page"/>
      </w:r>
    </w:p>
    <w:p>
      <w:pPr>
        <w:pStyle w:val="TableCaption"/>
        <w:rPr>
          <w:lang w:val="pt-BR" w:eastAsia="en-US" w:bidi="ar-SA"/>
        </w:rPr>
      </w:pPr>
      <w:r>
        <w:rPr>
          <w:b/>
          <w:bCs/>
          <w:lang w:val="pt-BR" w:eastAsia="en-US" w:bidi="ar-SA"/>
        </w:rPr>
        <w:t>Tabela 1</w:t>
      </w:r>
      <w:r>
        <w:rPr>
          <w:lang w:val="pt-BR" w:eastAsia="en-US" w:bidi="ar-SA"/>
        </w:rPr>
        <w:t xml:space="preserve"> Estrutura da tabela de dados analíticos após seleção e limpeza das variáveis.</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20"/>
        <w:gridCol w:w="1319"/>
        <w:gridCol w:w="1321"/>
        <w:gridCol w:w="1321"/>
        <w:gridCol w:w="1318"/>
        <w:gridCol w:w="1320"/>
      </w:tblGrid>
      <w:tr>
        <w:trPr/>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ap_resid</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mes</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fe</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internacoes</w:t>
            </w:r>
          </w:p>
        </w:tc>
        <w:tc>
          <w:tcPr>
            <w:tcW w:w="13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dose</w:t>
            </w:r>
          </w:p>
        </w:tc>
        <w:tc>
          <w:tcPr>
            <w:tcW w:w="13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eastAsia="en-US" w:bidi="ar-SA"/>
              </w:rPr>
            </w:pPr>
            <w:r>
              <w:rPr>
                <w:rFonts w:ascii="Ubuntu Mono" w:hAnsi="Ubuntu Mono"/>
                <w:b/>
                <w:bCs/>
                <w:i w:val="false"/>
                <w:iCs w:val="false"/>
                <w:strike w:val="false"/>
                <w:dstrike w:val="false"/>
                <w:outline w:val="false"/>
                <w:shadow w:val="false"/>
                <w:color w:val="000000"/>
                <w:sz w:val="18"/>
                <w:szCs w:val="18"/>
                <w:u w:val="none"/>
                <w:lang w:val="pt-BR" w:eastAsia="en-US" w:bidi="ar-SA"/>
              </w:rPr>
              <w:t>vacinacao</w:t>
            </w:r>
          </w:p>
        </w:tc>
      </w:tr>
      <w:tr>
        <w:trPr/>
        <w:tc>
          <w:tcPr>
            <w:tcW w:w="1320"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1</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1320"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2</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1320"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3</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1320"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r>
      <w:tr>
        <w:trPr/>
        <w:tc>
          <w:tcPr>
            <w:tcW w:w="1320" w:type="dxa"/>
            <w:tcBorders>
              <w:left w:val="single" w:sz="4" w:space="0" w:color="000000"/>
              <w:bottom w:val="single" w:sz="4" w:space="0" w:color="000000"/>
            </w:tcBorders>
            <w:vAlign w:val="center"/>
          </w:tcPr>
          <w:p>
            <w:pPr>
              <w:pStyle w:val="Compact"/>
              <w:widowControl w:val="false"/>
              <w:jc w:val="center"/>
              <w:rPr>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t>870</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lang w:val="pt-BR" w:eastAsia="en-US" w:bidi="ar-SA"/>
              </w:rPr>
            </w:pPr>
            <w:r>
              <w:rPr>
                <w:rFonts w:ascii="Ubuntu Mono" w:hAnsi="Ubuntu Mono"/>
                <w:b w:val="false"/>
                <w:bCs w:val="false"/>
                <w:i w:val="false"/>
                <w:iCs w:val="false"/>
                <w:strike w:val="false"/>
                <w:dstrike w:val="false"/>
                <w:outline w:val="false"/>
                <w:shadow w:val="false"/>
                <w:color w:val="000000"/>
                <w:sz w:val="18"/>
                <w:szCs w:val="18"/>
                <w:u w:val="none"/>
                <w:lang w:val="pt-BR" w:eastAsia="en-US" w:bidi="ar-SA"/>
              </w:rPr>
            </w:r>
            <w:bookmarkStart w:id="16" w:name="dados1"/>
            <w:bookmarkStart w:id="17" w:name="tabela-de-dados-analíticos1"/>
            <w:bookmarkStart w:id="18" w:name="dados1"/>
            <w:bookmarkStart w:id="19" w:name="tabela-de-dados-analíticos1"/>
            <w:bookmarkEnd w:id="18"/>
            <w:bookmarkEnd w:id="19"/>
          </w:p>
        </w:tc>
      </w:tr>
    </w:tbl>
    <w:p>
      <w:pPr>
        <w:pStyle w:val="Heading1"/>
        <w:rPr>
          <w:lang w:val="pt-BR" w:eastAsia="en-US" w:bidi="ar-SA"/>
        </w:rPr>
      </w:pPr>
      <w:bookmarkStart w:id="20" w:name="__RefHeading___Toc3310_2665529824"/>
      <w:bookmarkEnd w:id="20"/>
      <w:r>
        <w:rPr>
          <w:lang w:val="pt-BR" w:eastAsia="en-US" w:bidi="ar-SA"/>
        </w:rPr>
        <w:t>Variáveis do estudo</w:t>
      </w:r>
    </w:p>
    <w:p>
      <w:pPr>
        <w:pStyle w:val="Heading2"/>
        <w:rPr>
          <w:lang w:val="pt-BR" w:eastAsia="en-US" w:bidi="ar-SA"/>
        </w:rPr>
      </w:pPr>
      <w:bookmarkStart w:id="21" w:name="__RefHeading___Toc3312_2665529824"/>
      <w:bookmarkEnd w:id="21"/>
      <w:r>
        <w:rPr>
          <w:lang w:val="pt-BR" w:eastAsia="en-US" w:bidi="ar-SA"/>
        </w:rPr>
        <w:t>Desfechos primário e secundários</w:t>
      </w:r>
    </w:p>
    <w:p>
      <w:pPr>
        <w:pStyle w:val="FirstParagraph"/>
        <w:rPr>
          <w:lang w:val="pt-BR" w:eastAsia="en-US" w:bidi="ar-SA"/>
        </w:rPr>
      </w:pPr>
      <w:r>
        <w:rPr>
          <w:b/>
          <w:bCs/>
          <w:lang w:val="pt-BR" w:eastAsia="en-US" w:bidi="ar-SA"/>
        </w:rPr>
        <w:t>Especificação das medidas de desfecho</w:t>
      </w:r>
      <w:r>
        <w:rPr>
          <w:lang w:val="pt-BR" w:eastAsia="en-US" w:bidi="ar-SA"/>
        </w:rPr>
        <w:t xml:space="preserve"> (Zarin, 2011):</w:t>
      </w:r>
    </w:p>
    <w:p>
      <w:pPr>
        <w:pStyle w:val="Compact"/>
        <w:numPr>
          <w:ilvl w:val="0"/>
          <w:numId w:val="10"/>
        </w:numPr>
        <w:rPr>
          <w:lang w:val="pt-BR" w:eastAsia="en-US" w:bidi="ar-SA"/>
        </w:rPr>
      </w:pPr>
      <w:r>
        <w:rPr>
          <w:lang w:val="pt-BR" w:eastAsia="en-US" w:bidi="ar-SA"/>
        </w:rPr>
        <w:t>(Domínio) SRAG</w:t>
      </w:r>
    </w:p>
    <w:p>
      <w:pPr>
        <w:pStyle w:val="Compact"/>
        <w:numPr>
          <w:ilvl w:val="0"/>
          <w:numId w:val="11"/>
        </w:numPr>
        <w:rPr>
          <w:lang w:val="pt-BR" w:eastAsia="en-US" w:bidi="ar-SA"/>
        </w:rPr>
      </w:pPr>
      <w:r>
        <w:rPr>
          <w:lang w:val="pt-BR" w:eastAsia="en-US" w:bidi="ar-SA"/>
        </w:rPr>
        <w:t>(Mensuração específica) Internações por SRAG</w:t>
      </w:r>
    </w:p>
    <w:p>
      <w:pPr>
        <w:pStyle w:val="Compact"/>
        <w:numPr>
          <w:ilvl w:val="0"/>
          <w:numId w:val="12"/>
        </w:numPr>
        <w:rPr>
          <w:lang w:val="pt-BR" w:eastAsia="en-US" w:bidi="ar-SA"/>
        </w:rPr>
      </w:pPr>
      <w:r>
        <w:rPr>
          <w:lang w:val="pt-BR" w:eastAsia="en-US" w:bidi="ar-SA"/>
        </w:rPr>
        <w:t>(Métrica específica) Valor final</w:t>
      </w:r>
    </w:p>
    <w:p>
      <w:pPr>
        <w:pStyle w:val="Compact"/>
        <w:numPr>
          <w:ilvl w:val="0"/>
          <w:numId w:val="13"/>
        </w:numPr>
        <w:rPr>
          <w:lang w:val="pt-BR" w:eastAsia="en-US" w:bidi="ar-SA"/>
        </w:rPr>
      </w:pPr>
      <w:r>
        <w:rPr>
          <w:lang w:val="pt-BR" w:eastAsia="en-US" w:bidi="ar-SA"/>
        </w:rPr>
        <w:t>(Método de agregação) Soma</w:t>
      </w:r>
    </w:p>
    <w:p>
      <w:pPr>
        <w:pStyle w:val="FirstParagraph"/>
        <w:rPr>
          <w:lang w:val="pt-BR" w:eastAsia="en-US" w:bidi="ar-SA"/>
        </w:rPr>
      </w:pPr>
      <w:r>
        <w:rPr>
          <w:b/>
          <w:bCs/>
          <w:lang w:val="pt-BR" w:eastAsia="en-US" w:bidi="ar-SA"/>
        </w:rPr>
        <w:t>Desfecho primário</w:t>
      </w:r>
    </w:p>
    <w:p>
      <w:pPr>
        <w:pStyle w:val="TextBody"/>
        <w:rPr>
          <w:lang w:val="pt-BR" w:eastAsia="en-US" w:bidi="ar-SA"/>
        </w:rPr>
      </w:pPr>
      <w:bookmarkStart w:id="22" w:name="desfechos-primário-e-secundários"/>
      <w:r>
        <w:rPr>
          <w:lang w:val="pt-BR" w:eastAsia="en-US" w:bidi="ar-SA"/>
        </w:rPr>
        <w:t>Número total de internações por SRAG em idosos.</w:t>
      </w:r>
      <w:bookmarkEnd w:id="22"/>
    </w:p>
    <w:p>
      <w:pPr>
        <w:pStyle w:val="Heading2"/>
        <w:rPr>
          <w:lang w:val="pt-BR" w:eastAsia="en-US" w:bidi="ar-SA"/>
        </w:rPr>
      </w:pPr>
      <w:bookmarkStart w:id="23" w:name="__RefHeading___Toc3314_2665529824"/>
      <w:bookmarkEnd w:id="23"/>
      <w:r>
        <w:rPr>
          <w:lang w:val="pt-BR" w:eastAsia="en-US" w:bidi="ar-SA"/>
        </w:rPr>
        <w:t>Covariáveis</w:t>
      </w:r>
    </w:p>
    <w:p>
      <w:pPr>
        <w:pStyle w:val="FirstParagraph"/>
        <w:rPr>
          <w:lang w:val="pt-BR" w:eastAsia="en-US" w:bidi="ar-SA"/>
        </w:rPr>
      </w:pPr>
      <w:bookmarkStart w:id="24" w:name="covariáveis"/>
      <w:r>
        <w:rPr>
          <w:lang w:val="pt-BR" w:eastAsia="en-US" w:bidi="ar-SA"/>
        </w:rPr>
        <w:t>N/A</w:t>
      </w:r>
      <w:bookmarkEnd w:id="24"/>
    </w:p>
    <w:p>
      <w:pPr>
        <w:pStyle w:val="Heading1"/>
        <w:rPr>
          <w:lang w:val="pt-BR" w:eastAsia="en-US" w:bidi="ar-SA"/>
        </w:rPr>
      </w:pPr>
      <w:bookmarkStart w:id="25" w:name="__RefHeading___Toc3316_2665529824"/>
      <w:bookmarkStart w:id="26" w:name="métodos-estatísticos"/>
      <w:bookmarkEnd w:id="25"/>
      <w:r>
        <w:rPr>
          <w:lang w:val="pt-BR" w:eastAsia="en-US" w:bidi="ar-SA"/>
        </w:rPr>
        <w:t>Métodos estatísticos</w:t>
      </w:r>
    </w:p>
    <w:p>
      <w:pPr>
        <w:pStyle w:val="Heading2"/>
        <w:rPr>
          <w:lang w:val="pt-BR" w:eastAsia="en-US" w:bidi="ar-SA"/>
        </w:rPr>
      </w:pPr>
      <w:bookmarkStart w:id="27" w:name="__RefHeading___Toc3318_2665529824"/>
      <w:bookmarkEnd w:id="27"/>
      <w:r>
        <w:rPr>
          <w:lang w:val="pt-BR" w:eastAsia="en-US" w:bidi="ar-SA"/>
        </w:rPr>
        <w:t>Análises estatísticas</w:t>
      </w:r>
    </w:p>
    <w:p>
      <w:pPr>
        <w:pStyle w:val="Heading3"/>
        <w:rPr>
          <w:lang w:val="pt-BR" w:eastAsia="en-US" w:bidi="ar-SA"/>
        </w:rPr>
      </w:pPr>
      <w:bookmarkStart w:id="28" w:name="__RefHeading___Toc3320_2665529824"/>
      <w:bookmarkEnd w:id="28"/>
      <w:r>
        <w:rPr>
          <w:lang w:val="pt-BR" w:eastAsia="en-US" w:bidi="ar-SA"/>
        </w:rPr>
        <w:t>Análise descritiva</w:t>
      </w:r>
    </w:p>
    <w:p>
      <w:pPr>
        <w:pStyle w:val="FirstParagraph"/>
        <w:rPr>
          <w:lang w:val="pt-BR" w:eastAsia="en-US" w:bidi="ar-SA"/>
        </w:rPr>
      </w:pPr>
      <w:r>
        <w:rPr>
          <w:lang w:val="pt-BR" w:eastAsia="en-US" w:bidi="ar-SA"/>
        </w:rPr>
        <w:t>O perfil epidemiológico das AP incluídas no estudo será descrito na baseline, com os dados do Censo brasileiro de 2010. As características demográficas (sexo e faixa etária) serão descritas como total de residentes em cada AP.</w:t>
      </w:r>
    </w:p>
    <w:p>
      <w:pPr>
        <w:pStyle w:val="TextBody"/>
        <w:rPr>
          <w:lang w:val="pt-BR" w:eastAsia="en-US" w:bidi="ar-SA"/>
        </w:rPr>
      </w:pPr>
      <w:r>
        <w:rPr>
          <w:lang w:val="pt-BR" w:eastAsia="en-US" w:bidi="ar-SA"/>
        </w:rPr>
        <w:t>As tendências de vacinação e de internações em cada AP serão resumidas em tabelas e visualizadas em gráficos exploratórios. As curvas de tendência de internação hospitalar de cada uma das dez APs serão criadas para cada etapa do esquema vacinal (dose 1, dose 2 e dose de reforço), estratificando por faixas etárias (60 a 69 anos, 70 a 79 anos e 80 anos ou mais).</w:t>
      </w:r>
    </w:p>
    <w:p>
      <w:pPr>
        <w:pStyle w:val="TextBody"/>
        <w:rPr>
          <w:lang w:val="pt-BR" w:eastAsia="en-US" w:bidi="ar-SA"/>
        </w:rPr>
      </w:pPr>
      <w:bookmarkStart w:id="29" w:name="análise-descritiva"/>
      <w:r>
        <w:rPr>
          <w:lang w:val="pt-BR" w:eastAsia="en-US" w:bidi="ar-SA"/>
        </w:rPr>
        <w:t>A associação entre os totais de vacinados e de internações em cada AP será mensurada com o coeficiente de correlação linear de Pearson, ou a correlação de Spearman.</w:t>
      </w:r>
      <w:bookmarkEnd w:id="29"/>
    </w:p>
    <w:p>
      <w:pPr>
        <w:pStyle w:val="Heading3"/>
        <w:rPr>
          <w:lang w:val="pt-BR" w:eastAsia="en-US" w:bidi="ar-SA"/>
        </w:rPr>
      </w:pPr>
      <w:bookmarkStart w:id="30" w:name="__RefHeading___Toc3322_2665529824"/>
      <w:bookmarkEnd w:id="30"/>
      <w:r>
        <w:rPr>
          <w:lang w:val="pt-BR" w:eastAsia="en-US" w:bidi="ar-SA"/>
        </w:rPr>
        <w:t>Análise inferencial</w:t>
      </w:r>
    </w:p>
    <w:p>
      <w:pPr>
        <w:pStyle w:val="FirstParagraph"/>
        <w:rPr>
          <w:lang w:val="pt-BR" w:eastAsia="en-US" w:bidi="ar-SA"/>
        </w:rPr>
      </w:pPr>
      <w:bookmarkStart w:id="31" w:name="análise-inferencial"/>
      <w:r>
        <w:rPr>
          <w:lang w:val="pt-BR" w:eastAsia="en-US" w:bidi="ar-SA"/>
        </w:rPr>
        <w:t>N/A</w:t>
      </w:r>
      <w:bookmarkEnd w:id="31"/>
    </w:p>
    <w:p>
      <w:pPr>
        <w:pStyle w:val="Heading3"/>
        <w:rPr>
          <w:lang w:val="pt-BR" w:eastAsia="en-US" w:bidi="ar-SA"/>
        </w:rPr>
      </w:pPr>
      <w:bookmarkStart w:id="32" w:name="__RefHeading___Toc3324_2665529824"/>
      <w:bookmarkEnd w:id="32"/>
      <w:r>
        <w:rPr>
          <w:lang w:val="pt-BR" w:eastAsia="en-US" w:bidi="ar-SA"/>
        </w:rPr>
        <w:t>Modelagem estatística</w:t>
      </w:r>
    </w:p>
    <w:p>
      <w:pPr>
        <w:pStyle w:val="FirstParagraph"/>
        <w:rPr>
          <w:lang w:val="pt-BR" w:eastAsia="en-US" w:bidi="ar-SA"/>
        </w:rPr>
      </w:pPr>
      <w:bookmarkStart w:id="33" w:name="modelagem-estatística"/>
      <w:r>
        <w:rPr>
          <w:lang w:val="pt-BR" w:eastAsia="en-US" w:bidi="ar-SA"/>
        </w:rPr>
        <w:t>N/A</w:t>
      </w:r>
      <w:bookmarkEnd w:id="33"/>
    </w:p>
    <w:p>
      <w:pPr>
        <w:pStyle w:val="Heading3"/>
        <w:rPr>
          <w:lang w:val="pt-BR" w:eastAsia="en-US" w:bidi="ar-SA"/>
        </w:rPr>
      </w:pPr>
      <w:bookmarkStart w:id="34" w:name="__RefHeading___Toc3326_2665529824"/>
      <w:bookmarkEnd w:id="34"/>
      <w:r>
        <w:rPr>
          <w:lang w:val="pt-BR" w:eastAsia="en-US" w:bidi="ar-SA"/>
        </w:rPr>
        <w:t>Dados faltantes</w:t>
      </w:r>
    </w:p>
    <w:p>
      <w:pPr>
        <w:pStyle w:val="FirstParagraph"/>
        <w:rPr>
          <w:lang w:val="pt-BR" w:eastAsia="en-US" w:bidi="ar-SA"/>
        </w:rPr>
      </w:pPr>
      <w:bookmarkStart w:id="35" w:name="análises-estatísticas"/>
      <w:bookmarkStart w:id="36" w:name="dados-faltantes"/>
      <w:r>
        <w:rPr>
          <w:lang w:val="pt-BR" w:eastAsia="en-US" w:bidi="ar-SA"/>
        </w:rPr>
        <w:t>Não serão realizadas imputações de dados faltantes. Todas as avaliações serão realizadas como análises de casos completos.</w:t>
      </w:r>
      <w:bookmarkEnd w:id="35"/>
      <w:bookmarkEnd w:id="36"/>
    </w:p>
    <w:p>
      <w:pPr>
        <w:pStyle w:val="Heading2"/>
        <w:rPr>
          <w:lang w:val="pt-BR" w:eastAsia="en-US" w:bidi="ar-SA"/>
        </w:rPr>
      </w:pPr>
      <w:bookmarkStart w:id="37" w:name="__RefHeading___Toc3328_2665529824"/>
      <w:bookmarkEnd w:id="37"/>
      <w:r>
        <w:rPr>
          <w:lang w:val="pt-BR" w:eastAsia="en-US" w:bidi="ar-SA"/>
        </w:rPr>
        <w:t>Significância e Intervalos de Confiança</w:t>
      </w:r>
    </w:p>
    <w:p>
      <w:pPr>
        <w:pStyle w:val="FirstParagraph"/>
        <w:rPr>
          <w:lang w:val="pt-BR" w:eastAsia="en-US" w:bidi="ar-SA"/>
        </w:rPr>
      </w:pPr>
      <w:bookmarkStart w:id="38" w:name="significância-e-intervalos-de-confiança"/>
      <w:r>
        <w:rPr>
          <w:lang w:val="pt-BR" w:eastAsia="en-US" w:bidi="ar-SA"/>
        </w:rPr>
        <w:t>Todas as análises serão realizadas ao nível de significância de 5%. Todos os testes de hipóteses e intervalos de confiança calculados serão bicaudais.</w:t>
      </w:r>
      <w:bookmarkEnd w:id="38"/>
    </w:p>
    <w:p>
      <w:pPr>
        <w:pStyle w:val="Heading2"/>
        <w:rPr>
          <w:lang w:val="pt-BR" w:eastAsia="en-US" w:bidi="ar-SA"/>
        </w:rPr>
      </w:pPr>
      <w:bookmarkStart w:id="39" w:name="__RefHeading___Toc3330_2665529824"/>
      <w:bookmarkEnd w:id="39"/>
      <w:r>
        <w:rPr>
          <w:lang w:val="pt-BR" w:eastAsia="en-US" w:bidi="ar-SA"/>
        </w:rPr>
        <w:t>Tamanho da amostra e Poder</w:t>
      </w:r>
    </w:p>
    <w:p>
      <w:pPr>
        <w:pStyle w:val="FirstParagraph"/>
        <w:rPr>
          <w:lang w:val="pt-BR" w:eastAsia="en-US" w:bidi="ar-SA"/>
        </w:rPr>
      </w:pPr>
      <w:bookmarkStart w:id="40" w:name="tamanho-da-amostra-e-poder"/>
      <w:r>
        <w:rPr>
          <w:lang w:val="pt-BR" w:eastAsia="en-US" w:bidi="ar-SA"/>
        </w:rPr>
        <w:t>N/A</w:t>
      </w:r>
      <w:bookmarkEnd w:id="40"/>
    </w:p>
    <w:p>
      <w:pPr>
        <w:pStyle w:val="Heading2"/>
        <w:rPr>
          <w:lang w:val="pt-BR" w:eastAsia="en-US" w:bidi="ar-SA"/>
        </w:rPr>
      </w:pPr>
      <w:bookmarkStart w:id="41" w:name="__RefHeading___Toc3332_2665529824"/>
      <w:bookmarkStart w:id="42" w:name="softwares-utilizados"/>
      <w:bookmarkEnd w:id="41"/>
      <w:r>
        <w:rPr>
          <w:lang w:val="pt-BR" w:eastAsia="en-US" w:bidi="ar-SA"/>
        </w:rPr>
        <w:t>Softwares utilizados</w:t>
      </w:r>
    </w:p>
    <w:p>
      <w:pPr>
        <w:pStyle w:val="FirstParagraph"/>
        <w:rPr/>
      </w:pPr>
      <w:r>
        <w:rPr>
          <w:lang w:val="pt-BR" w:eastAsia="en-US" w:bidi="ar-SA"/>
        </w:rPr>
        <w:t xml:space="preserve">Esta análise será realizada utilizando-se o software </w:t>
      </w:r>
      <w:r>
        <w:rPr>
          <w:rStyle w:val="VerbatimChar"/>
          <w:lang w:val="pt-BR" w:eastAsia="en-US" w:bidi="ar-SA"/>
        </w:rPr>
        <w:t>R</w:t>
      </w:r>
      <w:r>
        <w:rPr>
          <w:lang w:val="pt-BR" w:eastAsia="en-US" w:bidi="ar-SA"/>
        </w:rPr>
        <w:t xml:space="preserve"> versão 4.1.3.</w:t>
      </w:r>
      <w:bookmarkEnd w:id="26"/>
      <w:bookmarkEnd w:id="42"/>
    </w:p>
    <w:p>
      <w:pPr>
        <w:pStyle w:val="Heading1"/>
        <w:rPr>
          <w:lang w:val="pt-BR" w:eastAsia="en-US" w:bidi="ar-SA"/>
        </w:rPr>
      </w:pPr>
      <w:bookmarkStart w:id="43" w:name="__RefHeading___Toc3334_2665529824"/>
      <w:bookmarkEnd w:id="43"/>
      <w:r>
        <w:rPr>
          <w:lang w:val="pt-BR" w:eastAsia="en-US" w:bidi="ar-SA"/>
        </w:rPr>
        <w:t>Observações e limitações</w:t>
      </w:r>
    </w:p>
    <w:p>
      <w:pPr>
        <w:pStyle w:val="FirstParagraph"/>
        <w:rPr>
          <w:lang w:val="pt-BR" w:eastAsia="en-US" w:bidi="ar-SA"/>
        </w:rPr>
      </w:pPr>
      <w:r>
        <w:rPr>
          <w:b/>
          <w:bCs/>
          <w:lang w:val="pt-BR" w:eastAsia="en-US" w:bidi="ar-SA"/>
        </w:rPr>
        <w:t>Perfil epidemiológico estático</w:t>
      </w:r>
    </w:p>
    <w:p>
      <w:pPr>
        <w:pStyle w:val="TextBody"/>
        <w:rPr>
          <w:lang w:val="pt-BR" w:eastAsia="en-US" w:bidi="ar-SA"/>
        </w:rPr>
      </w:pPr>
      <w:r>
        <w:rPr>
          <w:lang w:val="pt-BR" w:eastAsia="en-US" w:bidi="ar-SA"/>
        </w:rPr>
        <w:t>Os dados utilizados para a descrição do perfil epidemiológico dos idosos neste estudo vêm do Censo 2010, e portando não variam ao longo do ano de 2021. Por este motivo, não será possível utilizar o sexo e o tamanho da população como covariáveis para ajustar a incidência de casos de SRAG. Por este motivo apenas o número de casos será reportado nesta análise.</w:t>
      </w:r>
    </w:p>
    <w:p>
      <w:pPr>
        <w:pStyle w:val="TextBody"/>
        <w:rPr>
          <w:lang w:val="pt-BR" w:eastAsia="en-US" w:bidi="ar-SA"/>
        </w:rPr>
      </w:pPr>
      <w:r>
        <w:rPr>
          <w:b/>
          <w:bCs/>
          <w:lang w:val="pt-BR" w:eastAsia="en-US" w:bidi="ar-SA"/>
        </w:rPr>
        <w:t>Censo desatualizado</w:t>
      </w:r>
    </w:p>
    <w:p>
      <w:pPr>
        <w:pStyle w:val="TextBody"/>
        <w:rPr>
          <w:lang w:val="pt-BR" w:eastAsia="en-US" w:bidi="ar-SA"/>
        </w:rPr>
      </w:pPr>
      <w:bookmarkStart w:id="44" w:name="observações-e-limitações"/>
      <w:r>
        <w:rPr>
          <w:lang w:val="pt-BR" w:eastAsia="en-US" w:bidi="ar-SA"/>
        </w:rPr>
        <w:t>Além do mencionado acima, os dados que descrevem o perfil estão desatualizados em relação aos valores reais da população alvo. Isto introduziria um risco de viés em estimativas de incidência de SRAG pois, se a população atual for maior que a população descrita em 2010, a taxa de incidência com base nos casos de 2021 será menor que o avaliado com os dados disponíveis. Por este motivo apenas o número de casos será reportado nesta análise.</w:t>
      </w:r>
      <w:bookmarkEnd w:id="44"/>
    </w:p>
    <w:p>
      <w:pPr>
        <w:pStyle w:val="Heading1"/>
        <w:rPr>
          <w:lang w:val="pt-BR" w:eastAsia="en-US" w:bidi="ar-SA"/>
        </w:rPr>
      </w:pPr>
      <w:bookmarkStart w:id="45" w:name="__RefHeading___Toc3336_2665529824"/>
      <w:bookmarkStart w:id="46" w:name="referências"/>
      <w:bookmarkEnd w:id="45"/>
      <w:r>
        <w:rPr>
          <w:lang w:val="pt-BR" w:eastAsia="en-US" w:bidi="ar-SA"/>
        </w:rPr>
        <w:t>Referências</w:t>
      </w:r>
    </w:p>
    <w:p>
      <w:pPr>
        <w:pStyle w:val="Compact"/>
        <w:numPr>
          <w:ilvl w:val="0"/>
          <w:numId w:val="14"/>
        </w:numPr>
        <w:rPr>
          <w:lang w:val="pt-BR" w:eastAsia="en-US" w:bidi="ar-SA"/>
        </w:rPr>
      </w:pPr>
      <w:r>
        <w:rPr>
          <w:b/>
          <w:bCs/>
          <w:lang w:val="pt-BR" w:eastAsia="en-US" w:bidi="ar-SA"/>
        </w:rPr>
        <w:t>SAR-2022-016-JB-v01</w:t>
      </w:r>
      <w:r>
        <w:rPr>
          <w:lang w:val="pt-BR" w:eastAsia="en-US" w:bidi="ar-SA"/>
        </w:rPr>
        <w:t xml:space="preserve"> – Associação entre vacinação de COVID-19 e internações por SRAG em idosos nas áreas programáticas do Rio de Janeiro/RJ em 2021</w:t>
      </w:r>
    </w:p>
    <w:p>
      <w:pPr>
        <w:pStyle w:val="Compact"/>
        <w:numPr>
          <w:ilvl w:val="0"/>
          <w:numId w:val="15"/>
        </w:numPr>
        <w:rPr/>
      </w:pPr>
      <w:r>
        <w:rPr>
          <w:lang w:val="en-US" w:eastAsia="en-US" w:bidi="ar-SA"/>
        </w:rPr>
        <w:t>Zarin DA, et al. The ClinicalTrials.gov results database – update and key issues. N Engl J Med 2011;364:852-60 (</w:t>
      </w:r>
      <w:hyperlink r:id="rId2">
        <w:r>
          <w:rPr>
            <w:rStyle w:val="InternetLink"/>
            <w:lang w:val="en-US" w:eastAsia="en-US" w:bidi="ar-SA"/>
          </w:rPr>
          <w:t>https://doi.org/10.1056/NEJMsa1012065</w:t>
        </w:r>
      </w:hyperlink>
      <w:r>
        <w:rPr>
          <w:lang w:val="en-US" w:eastAsia="en-US" w:bidi="ar-SA"/>
        </w:rPr>
        <w:t>).</w:t>
      </w:r>
    </w:p>
    <w:p>
      <w:pPr>
        <w:pStyle w:val="Compact"/>
        <w:numPr>
          <w:ilvl w:val="0"/>
          <w:numId w:val="16"/>
        </w:numPr>
        <w:rPr/>
      </w:pPr>
      <w:r>
        <w:rPr>
          <w:lang w:val="en-US" w:eastAsia="en-US" w:bidi="ar-SA"/>
        </w:rPr>
        <w:t>Gamble C, et al. Guidelines for the Content of Statistical Analysis Plans in Clinical Trials. JAMA. 2017;318(23):2337–2343 (</w:t>
      </w:r>
      <w:hyperlink r:id="rId3">
        <w:r>
          <w:rPr>
            <w:rStyle w:val="InternetLink"/>
            <w:lang w:val="en-US" w:eastAsia="en-US" w:bidi="ar-SA"/>
          </w:rPr>
          <w:t>https://doi.org/10.1001/jama.2017.18556</w:t>
        </w:r>
      </w:hyperlink>
      <w:r>
        <w:rPr>
          <w:lang w:val="en-US" w:eastAsia="en-US" w:bidi="ar-SA"/>
        </w:rPr>
        <w:t>).</w:t>
      </w:r>
      <w:bookmarkEnd w:id="46"/>
    </w:p>
    <w:p>
      <w:pPr>
        <w:pStyle w:val="Heading1"/>
        <w:rPr>
          <w:lang w:val="pt-BR" w:eastAsia="en-US" w:bidi="ar-SA"/>
        </w:rPr>
      </w:pPr>
      <w:bookmarkStart w:id="47" w:name="__RefHeading___Toc3338_2665529824"/>
      <w:bookmarkEnd w:id="47"/>
      <w:r>
        <w:rPr>
          <w:lang w:val="pt-BR" w:eastAsia="en-US" w:bidi="ar-SA"/>
        </w:rPr>
        <w:t>Apêndice</w:t>
      </w:r>
    </w:p>
    <w:p>
      <w:pPr>
        <w:pStyle w:val="FirstParagraph"/>
        <w:rPr>
          <w:lang w:val="pt-BR" w:eastAsia="en-US" w:bidi="ar-SA"/>
        </w:rPr>
      </w:pPr>
      <w:r>
        <w:rPr>
          <w:lang w:val="pt-BR" w:eastAsia="en-US" w:bidi="ar-SA"/>
        </w:rPr>
        <w:t>Este documento foi elaborado seguindo recomendações de estrutura para Planos de Análise Estatística (Gamble, 2017) para maior transparência e clareza.</w:t>
      </w:r>
    </w:p>
    <w:p>
      <w:pPr>
        <w:pStyle w:val="Heading2"/>
        <w:rPr>
          <w:lang w:val="pt-BR" w:eastAsia="en-US" w:bidi="ar-SA"/>
        </w:rPr>
      </w:pPr>
      <w:bookmarkStart w:id="48" w:name="__RefHeading___Toc3340_2665529824"/>
      <w:bookmarkEnd w:id="48"/>
      <w:r>
        <w:rPr>
          <w:lang w:val="pt-BR" w:eastAsia="en-US" w:bidi="ar-SA"/>
        </w:rPr>
        <w:t>Disponibilidade</w:t>
      </w:r>
    </w:p>
    <w:p>
      <w:pPr>
        <w:pStyle w:val="FirstParagraph"/>
        <w:rPr>
          <w:lang w:val="pt-BR" w:eastAsia="en-US" w:bidi="ar-SA"/>
        </w:rPr>
      </w:pPr>
      <w:r>
        <w:rPr>
          <w:lang w:val="pt-BR" w:eastAsia="en-US" w:bidi="ar-SA"/>
        </w:rPr>
        <w:t>Tanto este plano analítico como o relatório correspondente (</w:t>
      </w:r>
      <w:r>
        <w:rPr>
          <w:b/>
          <w:bCs/>
          <w:lang w:val="pt-BR" w:eastAsia="en-US" w:bidi="ar-SA"/>
        </w:rPr>
        <w:t>SAR-2022-016-JB-v01</w:t>
      </w:r>
      <w:r>
        <w:rPr>
          <w:lang w:val="pt-BR" w:eastAsia="en-US" w:bidi="ar-SA"/>
        </w:rPr>
        <w:t>) podem ser obtidos no seguinte endereço:</w:t>
      </w:r>
    </w:p>
    <w:p>
      <w:pPr>
        <w:pStyle w:val="TextBody"/>
        <w:spacing w:before="180" w:after="180"/>
        <w:rPr/>
      </w:pPr>
      <w:hyperlink r:id="rId4">
        <w:bookmarkStart w:id="49" w:name="apêndice"/>
        <w:bookmarkStart w:id="50" w:name="disponibilidade"/>
        <w:r>
          <w:rPr>
            <w:rStyle w:val="InternetLink"/>
            <w:lang w:val="pt-BR" w:eastAsia="en-US" w:bidi="ar-SA"/>
          </w:rPr>
          <w:t>https://philsf-biostat.github.io/SAR-2022-016-JB/</w:t>
        </w:r>
      </w:hyperlink>
      <w:bookmarkEnd w:id="49"/>
      <w:bookmarkEnd w:id="50"/>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1</w:t>
          </w:r>
        </w:p>
      </w:tc>
      <w:tc>
        <w:tcPr>
          <w:tcW w:w="202" w:type="dxa"/>
          <w:tcBorders/>
          <w:vAlign w:val="center"/>
        </w:tcPr>
        <w:p>
          <w:pPr>
            <w:pStyle w:val="CabealhoeRodap"/>
            <w:widowControl w:val="false"/>
            <w:jc w:val="center"/>
            <w:rPr>
              <w:lang w:val="pt-BR" w:eastAsia="en-US" w:bidi="ar-SA"/>
            </w:rPr>
          </w:pPr>
          <w:r>
            <w:rPr>
              <w:lang w:val="pt-BR"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4</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6</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Plano Analítico </w:t>
          </w:r>
          <w:r>
            <w:rPr>
              <w:b/>
              <w:bCs/>
              <w:lang w:val="pt-BR"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
    <w:lvlOverride w:ilvl="0">
      <w:startOverride w:val="1"/>
    </w:lvlOverride>
  </w:num>
  <w:num w:numId="11">
    <w:abstractNumId w:val="3"/>
  </w:num>
  <w:num w:numId="12">
    <w:abstractNumId w:val="3"/>
  </w:num>
  <w:num w:numId="13">
    <w:abstractNumId w:val="3"/>
  </w:num>
  <w:num w:numId="14">
    <w:abstractNumId w:val="2"/>
  </w:num>
  <w:num w:numId="15">
    <w:abstractNumId w:val="2"/>
  </w:num>
  <w:num w:numId="1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56/NEJMsa1012065" TargetMode="External"/><Relationship Id="rId3" Type="http://schemas.openxmlformats.org/officeDocument/2006/relationships/hyperlink" Target="https://doi.org/10.1001/jama.2017.18556" TargetMode="External"/><Relationship Id="rId4" Type="http://schemas.openxmlformats.org/officeDocument/2006/relationships/hyperlink" Target="https://philsf-biostat.github.io/SAR-2022-016-JB/"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LibreOffice/7.3.1.3$Linux_X86_64 LibreOffice_project/30$Build-3</Application>
  <AppVersion>15.0000</AppVersion>
  <Pages>6</Pages>
  <Words>1255</Words>
  <Characters>6806</Characters>
  <CharactersWithSpaces>8001</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2022-03-24T21:08:46Z</dcterms:created>
  <dc:creator>De: Felipe Figueiredo Para: Janaina Balmant</dc:creator>
  <dc:description/>
  <dc:language>pt-BR</dc:language>
  <cp:lastModifiedBy>Felipe Figueiredo</cp:lastModifiedBy>
  <dcterms:modified xsi:type="dcterms:W3CDTF">2022-03-24T18:14:07Z</dcterms:modified>
  <cp:revision>4</cp:revision>
  <dc:subject/>
  <dc:title>Plano Analítico para Associação entre vacinação de COVID-19 e internações por SRAG em idosos nas áreas programáticas do Rio de Janeiro/RJ em 2021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2022-03-23</vt:lpwstr>
  </property>
  <property fmtid="{D5CDD505-2E9C-101B-9397-08002B2CF9AE}" pid="3" name="output">
    <vt:lpwstr/>
  </property>
  <property fmtid="{D5CDD505-2E9C-101B-9397-08002B2CF9AE}" pid="4" name="subtitle">
    <vt:lpwstr>DOCUMENTO: SAP-2022-016-JB-v01</vt:lpwstr>
  </property>
  <property fmtid="{D5CDD505-2E9C-101B-9397-08002B2CF9AE}" pid="5" name="toc-title">
    <vt:lpwstr>Sumário</vt:lpwstr>
  </property>
</Properties>
</file>