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480" w:after="240"/>
        <w:rPr>
          <w:lang w:val="pt-BR"/>
        </w:rPr>
      </w:pPr>
      <w:r>
        <w:rPr>
          <w:lang w:val="pt-BR"/>
        </w:rPr>
        <w:t>Associação entre vacinação de COVID-19 e internações por SRAG em idosos nas áreas programáticas do Rio de Janeiro/RJ em 2021</w:t>
      </w:r>
    </w:p>
    <w:p>
      <w:pPr>
        <w:pStyle w:val="Subtitle"/>
        <w:rPr>
          <w:lang w:val="pt-BR"/>
        </w:rPr>
      </w:pPr>
      <w:r>
        <w:rPr>
          <w:lang w:val="pt-BR"/>
        </w:rPr>
        <w:t>DOCUMENTO: SAR-2022-016-JB-v02</w:t>
      </w:r>
    </w:p>
    <w:p>
      <w:pPr>
        <w:pStyle w:val="Author"/>
        <w:rPr>
          <w:lang w:val="pt-BR"/>
        </w:rPr>
      </w:pPr>
      <w:r>
        <w:rPr>
          <w:b/>
          <w:bCs/>
          <w:lang w:val="pt-BR"/>
        </w:rPr>
        <w:t>De:</w:t>
      </w:r>
      <w:r>
        <w:rPr>
          <w:lang w:val="pt-BR"/>
        </w:rPr>
        <w:t xml:space="preserve"> Felipe Figueiredo </w:t>
      </w:r>
      <w:r>
        <w:rPr>
          <w:b/>
          <w:bCs/>
          <w:lang w:val="pt-BR"/>
        </w:rPr>
        <w:t>Para:</w:t>
      </w:r>
      <w:r>
        <w:rPr>
          <w:lang w:val="pt-BR"/>
        </w:rPr>
        <w:t xml:space="preserve"> Janaina Balmant</w:t>
      </w:r>
    </w:p>
    <w:p>
      <w:pPr>
        <w:pStyle w:val="Date"/>
        <w:rPr>
          <w:lang w:val="pt-BR"/>
        </w:rPr>
      </w:pPr>
      <w:r>
        <w:rPr>
          <w:lang w:val="pt-BR"/>
        </w:rPr>
        <w:t>2022-05-05</w:t>
      </w:r>
    </w:p>
    <w:sdt>
      <w:sdtPr>
        <w:docPartObj>
          <w:docPartGallery w:val="Table of Contents"/>
          <w:docPartUnique w:val="true"/>
        </w:docPartObj>
      </w:sdtPr>
      <w:sdtContent>
        <w:p>
          <w:pPr>
            <w:pStyle w:val="ContentsHeading"/>
            <w:numPr>
              <w:ilvl w:val="0"/>
              <w:numId w:val="0"/>
            </w:numPr>
            <w:spacing w:lineRule="auto" w:line="259" w:before="240" w:after="0"/>
            <w:jc w:val="center"/>
            <w:rPr>
              <w:rFonts w:ascii="Ubuntu" w:hAnsi="Ubuntu" w:eastAsia="" w:cs="" w:cstheme="majorBidi" w:eastAsiaTheme="majorEastAsia"/>
              <w:b/>
              <w:b/>
              <w:bCs w:val="false"/>
              <w:color w:val="000000" w:themeShade="bf"/>
              <w:sz w:val="32"/>
            </w:rPr>
          </w:pPr>
          <w:r>
            <w:rPr>
              <w:rFonts w:eastAsia="" w:cs="" w:cstheme="majorBidi" w:eastAsiaTheme="majorEastAsia"/>
              <w:b/>
              <w:bCs w:val="false"/>
              <w:color w:val="000000" w:themeShade="bf"/>
              <w:sz w:val="32"/>
            </w:rPr>
            <w:t>Sumário</w:t>
          </w:r>
        </w:p>
        <w:p>
          <w:pPr>
            <w:pStyle w:val="Contents1"/>
            <w:tabs>
              <w:tab w:val="clear" w:pos="9360"/>
              <w:tab w:val="right" w:pos="9638" w:leader="dot"/>
            </w:tabs>
            <w:rPr/>
          </w:pPr>
          <w:r>
            <w:fldChar w:fldCharType="begin"/>
          </w:r>
          <w:r>
            <w:rPr>
              <w:webHidden/>
              <w:rStyle w:val="IndexLink"/>
            </w:rPr>
            <w:instrText xml:space="preserve"> TOC \z \o "1-3" \u \h</w:instrText>
          </w:r>
          <w:r>
            <w:rPr>
              <w:webHidden/>
              <w:rStyle w:val="IndexLink"/>
            </w:rPr>
            <w:fldChar w:fldCharType="separate"/>
          </w:r>
          <w:hyperlink w:anchor="__RefHeading___Toc9643_1880389447">
            <w:r>
              <w:rPr>
                <w:webHidden/>
                <w:rStyle w:val="IndexLink"/>
              </w:rPr>
              <w:t xml:space="preserve"> </w:t>
            </w:r>
            <w:r>
              <w:rPr>
                <w:rStyle w:val="IndexLink"/>
              </w:rPr>
              <w:t>1  Lista de abreviaturas</w:t>
              <w:tab/>
              <w:t>2</w:t>
            </w:r>
          </w:hyperlink>
        </w:p>
        <w:p>
          <w:pPr>
            <w:pStyle w:val="Contents1"/>
            <w:tabs>
              <w:tab w:val="clear" w:pos="9360"/>
              <w:tab w:val="right" w:pos="9638" w:leader="dot"/>
            </w:tabs>
            <w:rPr/>
          </w:pPr>
          <w:hyperlink w:anchor="__RefHeading___Toc9645_1880389447">
            <w:r>
              <w:rPr>
                <w:webHidden/>
                <w:rStyle w:val="IndexLink"/>
              </w:rPr>
              <w:t xml:space="preserve"> </w:t>
            </w:r>
            <w:r>
              <w:rPr>
                <w:rStyle w:val="IndexLink"/>
              </w:rPr>
              <w:t>2  Contexto</w:t>
              <w:tab/>
              <w:t>3</w:t>
            </w:r>
          </w:hyperlink>
        </w:p>
        <w:p>
          <w:pPr>
            <w:pStyle w:val="Contents2"/>
            <w:tabs>
              <w:tab w:val="clear" w:pos="9077"/>
              <w:tab w:val="right" w:pos="9638" w:leader="dot"/>
            </w:tabs>
            <w:rPr/>
          </w:pPr>
          <w:hyperlink w:anchor="__RefHeading___Toc9647_1880389447">
            <w:r>
              <w:rPr>
                <w:webHidden/>
                <w:rStyle w:val="IndexLink"/>
              </w:rPr>
              <w:t xml:space="preserve"> </w:t>
            </w:r>
            <w:r>
              <w:rPr>
                <w:rStyle w:val="IndexLink"/>
              </w:rPr>
              <w:t>2.1  Objetivos</w:t>
              <w:tab/>
              <w:t>3</w:t>
            </w:r>
          </w:hyperlink>
        </w:p>
        <w:p>
          <w:pPr>
            <w:pStyle w:val="Contents2"/>
            <w:tabs>
              <w:tab w:val="clear" w:pos="9077"/>
              <w:tab w:val="right" w:pos="9638" w:leader="dot"/>
            </w:tabs>
            <w:rPr/>
          </w:pPr>
          <w:hyperlink w:anchor="__RefHeading___Toc9649_1880389447">
            <w:r>
              <w:rPr>
                <w:webHidden/>
                <w:rStyle w:val="IndexLink"/>
              </w:rPr>
              <w:t xml:space="preserve"> </w:t>
            </w:r>
            <w:r>
              <w:rPr>
                <w:rStyle w:val="IndexLink"/>
              </w:rPr>
              <w:t>2.2  Recepção e tratamento dos dados</w:t>
              <w:tab/>
              <w:t>3</w:t>
            </w:r>
          </w:hyperlink>
        </w:p>
        <w:p>
          <w:pPr>
            <w:pStyle w:val="Contents1"/>
            <w:tabs>
              <w:tab w:val="clear" w:pos="9360"/>
              <w:tab w:val="right" w:pos="9638" w:leader="dot"/>
            </w:tabs>
            <w:rPr/>
          </w:pPr>
          <w:hyperlink w:anchor="__RefHeading___Toc9651_1880389447">
            <w:r>
              <w:rPr>
                <w:webHidden/>
                <w:rStyle w:val="IndexLink"/>
              </w:rPr>
              <w:t xml:space="preserve"> </w:t>
            </w:r>
            <w:r>
              <w:rPr>
                <w:rStyle w:val="IndexLink"/>
              </w:rPr>
              <w:t>3  Metodologia</w:t>
              <w:tab/>
              <w:t>3</w:t>
            </w:r>
          </w:hyperlink>
        </w:p>
        <w:p>
          <w:pPr>
            <w:pStyle w:val="Contents2"/>
            <w:tabs>
              <w:tab w:val="clear" w:pos="9077"/>
              <w:tab w:val="right" w:pos="9638" w:leader="dot"/>
            </w:tabs>
            <w:rPr/>
          </w:pPr>
          <w:hyperlink w:anchor="__RefHeading___Toc9653_1880389447">
            <w:r>
              <w:rPr>
                <w:webHidden/>
                <w:rStyle w:val="IndexLink"/>
              </w:rPr>
              <w:t xml:space="preserve"> </w:t>
            </w:r>
            <w:r>
              <w:rPr>
                <w:rStyle w:val="IndexLink"/>
              </w:rPr>
              <w:t>3.1  Parâmetros do estudo</w:t>
              <w:tab/>
              <w:t>3</w:t>
            </w:r>
          </w:hyperlink>
        </w:p>
        <w:p>
          <w:pPr>
            <w:pStyle w:val="Contents3"/>
            <w:tabs>
              <w:tab w:val="clear" w:pos="8794"/>
              <w:tab w:val="right" w:pos="9638" w:leader="dot"/>
            </w:tabs>
            <w:rPr/>
          </w:pPr>
          <w:hyperlink w:anchor="__RefHeading___Toc9655_1880389447">
            <w:r>
              <w:rPr>
                <w:webHidden/>
                <w:rStyle w:val="IndexLink"/>
              </w:rPr>
              <w:t xml:space="preserve"> </w:t>
            </w:r>
            <w:r>
              <w:rPr>
                <w:rStyle w:val="IndexLink"/>
              </w:rPr>
              <w:t>3.1.1  Desenho do estudo</w:t>
              <w:tab/>
              <w:t>3</w:t>
            </w:r>
          </w:hyperlink>
        </w:p>
        <w:p>
          <w:pPr>
            <w:pStyle w:val="Contents3"/>
            <w:tabs>
              <w:tab w:val="clear" w:pos="8794"/>
              <w:tab w:val="right" w:pos="9638" w:leader="dot"/>
            </w:tabs>
            <w:rPr/>
          </w:pPr>
          <w:hyperlink w:anchor="__RefHeading___Toc9657_1880389447">
            <w:r>
              <w:rPr>
                <w:webHidden/>
                <w:rStyle w:val="IndexLink"/>
              </w:rPr>
              <w:t xml:space="preserve"> </w:t>
            </w:r>
            <w:r>
              <w:rPr>
                <w:rStyle w:val="IndexLink"/>
              </w:rPr>
              <w:t>3.1.2  Critérios de inclusão e exclusão</w:t>
              <w:tab/>
              <w:t>3</w:t>
            </w:r>
          </w:hyperlink>
        </w:p>
        <w:p>
          <w:pPr>
            <w:pStyle w:val="Contents3"/>
            <w:tabs>
              <w:tab w:val="clear" w:pos="8794"/>
              <w:tab w:val="right" w:pos="9638" w:leader="dot"/>
            </w:tabs>
            <w:rPr/>
          </w:pPr>
          <w:hyperlink w:anchor="__RefHeading___Toc9659_1880389447">
            <w:r>
              <w:rPr>
                <w:webHidden/>
                <w:rStyle w:val="IndexLink"/>
              </w:rPr>
              <w:t xml:space="preserve"> </w:t>
            </w:r>
            <w:r>
              <w:rPr>
                <w:rStyle w:val="IndexLink"/>
              </w:rPr>
              <w:t>3.1.3  Exposições</w:t>
              <w:tab/>
              <w:t>3</w:t>
            </w:r>
          </w:hyperlink>
        </w:p>
        <w:p>
          <w:pPr>
            <w:pStyle w:val="Contents3"/>
            <w:tabs>
              <w:tab w:val="clear" w:pos="8794"/>
              <w:tab w:val="right" w:pos="9638" w:leader="dot"/>
            </w:tabs>
            <w:rPr/>
          </w:pPr>
          <w:hyperlink w:anchor="__RefHeading___Toc9661_1880389447">
            <w:r>
              <w:rPr>
                <w:webHidden/>
                <w:rStyle w:val="IndexLink"/>
              </w:rPr>
              <w:t xml:space="preserve"> </w:t>
            </w:r>
            <w:r>
              <w:rPr>
                <w:rStyle w:val="IndexLink"/>
              </w:rPr>
              <w:t>3.1.4  Desfechos</w:t>
              <w:tab/>
              <w:t>3</w:t>
            </w:r>
          </w:hyperlink>
        </w:p>
        <w:p>
          <w:pPr>
            <w:pStyle w:val="Contents3"/>
            <w:tabs>
              <w:tab w:val="clear" w:pos="8794"/>
              <w:tab w:val="right" w:pos="9638" w:leader="dot"/>
            </w:tabs>
            <w:rPr/>
          </w:pPr>
          <w:hyperlink w:anchor="__RefHeading___Toc9663_1880389447">
            <w:r>
              <w:rPr>
                <w:webHidden/>
                <w:rStyle w:val="IndexLink"/>
              </w:rPr>
              <w:t xml:space="preserve"> </w:t>
            </w:r>
            <w:r>
              <w:rPr>
                <w:rStyle w:val="IndexLink"/>
              </w:rPr>
              <w:t>3.1.5  Covariáveis</w:t>
              <w:tab/>
              <w:t>3</w:t>
            </w:r>
          </w:hyperlink>
        </w:p>
        <w:p>
          <w:pPr>
            <w:pStyle w:val="Contents2"/>
            <w:tabs>
              <w:tab w:val="clear" w:pos="9077"/>
              <w:tab w:val="right" w:pos="9638" w:leader="dot"/>
            </w:tabs>
            <w:rPr/>
          </w:pPr>
          <w:hyperlink w:anchor="__RefHeading___Toc9665_1880389447">
            <w:r>
              <w:rPr>
                <w:webHidden/>
                <w:rStyle w:val="IndexLink"/>
              </w:rPr>
              <w:t xml:space="preserve"> </w:t>
            </w:r>
            <w:r>
              <w:rPr>
                <w:rStyle w:val="IndexLink"/>
              </w:rPr>
              <w:t>3.2  Análises Estatísticas</w:t>
              <w:tab/>
              <w:t>3</w:t>
            </w:r>
          </w:hyperlink>
        </w:p>
        <w:p>
          <w:pPr>
            <w:pStyle w:val="Contents1"/>
            <w:tabs>
              <w:tab w:val="clear" w:pos="9360"/>
              <w:tab w:val="right" w:pos="9638" w:leader="dot"/>
            </w:tabs>
            <w:rPr/>
          </w:pPr>
          <w:hyperlink w:anchor="__RefHeading___Toc9667_1880389447">
            <w:r>
              <w:rPr>
                <w:webHidden/>
                <w:rStyle w:val="IndexLink"/>
              </w:rPr>
              <w:t xml:space="preserve"> </w:t>
            </w:r>
            <w:r>
              <w:rPr>
                <w:rStyle w:val="IndexLink"/>
              </w:rPr>
              <w:t>4  Resultados</w:t>
              <w:tab/>
              <w:t>3</w:t>
            </w:r>
          </w:hyperlink>
        </w:p>
        <w:p>
          <w:pPr>
            <w:pStyle w:val="Contents2"/>
            <w:tabs>
              <w:tab w:val="clear" w:pos="9077"/>
              <w:tab w:val="right" w:pos="9638" w:leader="dot"/>
            </w:tabs>
            <w:rPr/>
          </w:pPr>
          <w:hyperlink w:anchor="__RefHeading___Toc9669_1880389447">
            <w:r>
              <w:rPr>
                <w:webHidden/>
                <w:rStyle w:val="IndexLink"/>
              </w:rPr>
              <w:t xml:space="preserve"> </w:t>
            </w:r>
            <w:r>
              <w:rPr>
                <w:rStyle w:val="IndexLink"/>
              </w:rPr>
              <w:t>4.1  População do estudo e acompanhamento</w:t>
              <w:tab/>
              <w:t>3</w:t>
            </w:r>
          </w:hyperlink>
        </w:p>
        <w:p>
          <w:pPr>
            <w:pStyle w:val="Contents2"/>
            <w:tabs>
              <w:tab w:val="clear" w:pos="9077"/>
              <w:tab w:val="right" w:pos="9638" w:leader="dot"/>
            </w:tabs>
            <w:rPr/>
          </w:pPr>
          <w:hyperlink w:anchor="__RefHeading___Toc9671_1880389447">
            <w:r>
              <w:rPr>
                <w:webHidden/>
                <w:rStyle w:val="IndexLink"/>
              </w:rPr>
              <w:t xml:space="preserve"> </w:t>
            </w:r>
            <w:r>
              <w:rPr>
                <w:rStyle w:val="IndexLink"/>
              </w:rPr>
              <w:t>4.2  Internações por SRAG em 2021</w:t>
              <w:tab/>
              <w:t>4</w:t>
            </w:r>
          </w:hyperlink>
        </w:p>
        <w:p>
          <w:pPr>
            <w:pStyle w:val="Contents2"/>
            <w:tabs>
              <w:tab w:val="clear" w:pos="9077"/>
              <w:tab w:val="right" w:pos="9638" w:leader="dot"/>
            </w:tabs>
            <w:rPr/>
          </w:pPr>
          <w:hyperlink w:anchor="__RefHeading___Toc9673_1880389447">
            <w:r>
              <w:rPr>
                <w:webHidden/>
                <w:rStyle w:val="IndexLink"/>
              </w:rPr>
              <w:t xml:space="preserve"> </w:t>
            </w:r>
            <w:r>
              <w:rPr>
                <w:rStyle w:val="IndexLink"/>
              </w:rPr>
              <w:t>4.3  Cobertura vacinal contra COVID-19</w:t>
              <w:tab/>
              <w:t>5</w:t>
            </w:r>
          </w:hyperlink>
        </w:p>
        <w:p>
          <w:pPr>
            <w:pStyle w:val="Contents3"/>
            <w:tabs>
              <w:tab w:val="clear" w:pos="8794"/>
              <w:tab w:val="right" w:pos="9638" w:leader="dot"/>
            </w:tabs>
            <w:rPr/>
          </w:pPr>
          <w:hyperlink w:anchor="__RefHeading___Toc9675_1880389447">
            <w:r>
              <w:rPr>
                <w:webHidden/>
                <w:rStyle w:val="IndexLink"/>
              </w:rPr>
              <w:t xml:space="preserve"> </w:t>
            </w:r>
            <w:r>
              <w:rPr>
                <w:rStyle w:val="IndexLink"/>
              </w:rPr>
              <w:t>4.3.1  Idosos 60-69 anos</w:t>
              <w:tab/>
              <w:t>6</w:t>
            </w:r>
          </w:hyperlink>
        </w:p>
        <w:p>
          <w:pPr>
            <w:pStyle w:val="Contents3"/>
            <w:tabs>
              <w:tab w:val="clear" w:pos="8794"/>
              <w:tab w:val="right" w:pos="9638" w:leader="dot"/>
            </w:tabs>
            <w:rPr/>
          </w:pPr>
          <w:hyperlink w:anchor="__RefHeading___Toc9677_1880389447">
            <w:r>
              <w:rPr>
                <w:webHidden/>
                <w:rStyle w:val="IndexLink"/>
              </w:rPr>
              <w:t xml:space="preserve"> </w:t>
            </w:r>
            <w:r>
              <w:rPr>
                <w:rStyle w:val="IndexLink"/>
              </w:rPr>
              <w:t>4.3.2  Idosos 70-79 anos</w:t>
              <w:tab/>
              <w:t>7</w:t>
            </w:r>
          </w:hyperlink>
        </w:p>
        <w:p>
          <w:pPr>
            <w:pStyle w:val="Contents3"/>
            <w:tabs>
              <w:tab w:val="clear" w:pos="8794"/>
              <w:tab w:val="right" w:pos="9638" w:leader="dot"/>
            </w:tabs>
            <w:rPr/>
          </w:pPr>
          <w:hyperlink w:anchor="__RefHeading___Toc9679_1880389447">
            <w:r>
              <w:rPr>
                <w:webHidden/>
                <w:rStyle w:val="IndexLink"/>
              </w:rPr>
              <w:t xml:space="preserve"> </w:t>
            </w:r>
            <w:r>
              <w:rPr>
                <w:rStyle w:val="IndexLink"/>
              </w:rPr>
              <w:t>4.3.3  Idosos 80 anos ou mais</w:t>
              <w:tab/>
              <w:t>8</w:t>
            </w:r>
          </w:hyperlink>
        </w:p>
        <w:p>
          <w:pPr>
            <w:pStyle w:val="Contents2"/>
            <w:tabs>
              <w:tab w:val="clear" w:pos="9077"/>
              <w:tab w:val="right" w:pos="9638" w:leader="dot"/>
            </w:tabs>
            <w:rPr/>
          </w:pPr>
          <w:hyperlink w:anchor="__RefHeading___Toc9681_1880389447">
            <w:r>
              <w:rPr>
                <w:webHidden/>
                <w:rStyle w:val="IndexLink"/>
              </w:rPr>
              <w:t xml:space="preserve"> </w:t>
            </w:r>
            <w:r>
              <w:rPr>
                <w:rStyle w:val="IndexLink"/>
              </w:rPr>
              <w:t>4.4  Associação entre internações e vacinação</w:t>
              <w:tab/>
              <w:t>9</w:t>
            </w:r>
          </w:hyperlink>
        </w:p>
        <w:p>
          <w:pPr>
            <w:pStyle w:val="Contents1"/>
            <w:tabs>
              <w:tab w:val="clear" w:pos="9360"/>
              <w:tab w:val="right" w:pos="9638" w:leader="dot"/>
            </w:tabs>
            <w:rPr/>
          </w:pPr>
          <w:hyperlink w:anchor="__RefHeading___Toc9683_1880389447">
            <w:r>
              <w:rPr>
                <w:webHidden/>
                <w:rStyle w:val="IndexLink"/>
              </w:rPr>
              <w:t xml:space="preserve"> </w:t>
            </w:r>
            <w:r>
              <w:rPr>
                <w:rStyle w:val="IndexLink"/>
              </w:rPr>
              <w:t>5  Observações e limitações</w:t>
              <w:tab/>
              <w:t>9</w:t>
            </w:r>
          </w:hyperlink>
        </w:p>
        <w:p>
          <w:pPr>
            <w:pStyle w:val="Contents1"/>
            <w:tabs>
              <w:tab w:val="clear" w:pos="9360"/>
              <w:tab w:val="right" w:pos="9638" w:leader="dot"/>
            </w:tabs>
            <w:rPr/>
          </w:pPr>
          <w:hyperlink w:anchor="__RefHeading___Toc9685_1880389447">
            <w:r>
              <w:rPr>
                <w:webHidden/>
                <w:rStyle w:val="IndexLink"/>
              </w:rPr>
              <w:t xml:space="preserve"> </w:t>
            </w:r>
            <w:r>
              <w:rPr>
                <w:rStyle w:val="IndexLink"/>
              </w:rPr>
              <w:t>6  Conclusões</w:t>
              <w:tab/>
              <w:t>9</w:t>
            </w:r>
          </w:hyperlink>
        </w:p>
        <w:p>
          <w:pPr>
            <w:pStyle w:val="Contents1"/>
            <w:tabs>
              <w:tab w:val="clear" w:pos="9360"/>
              <w:tab w:val="right" w:pos="9638" w:leader="dot"/>
            </w:tabs>
            <w:rPr/>
          </w:pPr>
          <w:hyperlink w:anchor="__RefHeading___Toc9687_1880389447">
            <w:r>
              <w:rPr>
                <w:webHidden/>
                <w:rStyle w:val="IndexLink"/>
              </w:rPr>
              <w:t xml:space="preserve"> </w:t>
            </w:r>
            <w:r>
              <w:rPr>
                <w:rStyle w:val="IndexLink"/>
              </w:rPr>
              <w:t>7  Referências</w:t>
              <w:tab/>
              <w:t>9</w:t>
            </w:r>
          </w:hyperlink>
        </w:p>
        <w:p>
          <w:pPr>
            <w:pStyle w:val="Contents1"/>
            <w:tabs>
              <w:tab w:val="clear" w:pos="9360"/>
              <w:tab w:val="right" w:pos="9638" w:leader="dot"/>
            </w:tabs>
            <w:rPr/>
          </w:pPr>
          <w:hyperlink w:anchor="__RefHeading___Toc9689_1880389447">
            <w:r>
              <w:rPr>
                <w:webHidden/>
                <w:rStyle w:val="IndexLink"/>
              </w:rPr>
              <w:t xml:space="preserve"> </w:t>
            </w:r>
            <w:r>
              <w:rPr>
                <w:rStyle w:val="IndexLink"/>
              </w:rPr>
              <w:t>8  Apêndice</w:t>
              <w:tab/>
              <w:t>10</w:t>
            </w:r>
          </w:hyperlink>
        </w:p>
        <w:p>
          <w:pPr>
            <w:pStyle w:val="Contents2"/>
            <w:tabs>
              <w:tab w:val="clear" w:pos="9077"/>
              <w:tab w:val="right" w:pos="9638" w:leader="dot"/>
            </w:tabs>
            <w:rPr/>
          </w:pPr>
          <w:hyperlink w:anchor="__RefHeading___Toc9691_1880389447">
            <w:r>
              <w:rPr>
                <w:webHidden/>
                <w:rStyle w:val="IndexLink"/>
              </w:rPr>
              <w:t xml:space="preserve"> </w:t>
            </w:r>
            <w:r>
              <w:rPr>
                <w:rStyle w:val="IndexLink"/>
              </w:rPr>
              <w:t>8.1  Análise exploratória de dados</w:t>
              <w:tab/>
              <w:t>10</w:t>
            </w:r>
          </w:hyperlink>
        </w:p>
        <w:p>
          <w:pPr>
            <w:pStyle w:val="Contents2"/>
            <w:tabs>
              <w:tab w:val="clear" w:pos="9077"/>
              <w:tab w:val="right" w:pos="9638" w:leader="dot"/>
            </w:tabs>
            <w:rPr/>
          </w:pPr>
          <w:hyperlink w:anchor="__RefHeading___Toc9693_1880389447">
            <w:r>
              <w:rPr>
                <w:webHidden/>
                <w:rStyle w:val="IndexLink"/>
              </w:rPr>
              <w:t xml:space="preserve"> </w:t>
            </w:r>
            <w:r>
              <w:rPr>
                <w:rStyle w:val="IndexLink"/>
              </w:rPr>
              <w:t>8.2  Estratégia de modelagem</w:t>
              <w:tab/>
              <w:t>12</w:t>
            </w:r>
          </w:hyperlink>
        </w:p>
        <w:p>
          <w:pPr>
            <w:pStyle w:val="Contents2"/>
            <w:tabs>
              <w:tab w:val="clear" w:pos="9077"/>
              <w:tab w:val="right" w:pos="9638" w:leader="dot"/>
            </w:tabs>
            <w:rPr/>
          </w:pPr>
          <w:hyperlink w:anchor="__RefHeading___Toc9695_1880389447">
            <w:r>
              <w:rPr>
                <w:webHidden/>
                <w:rStyle w:val="IndexLink"/>
              </w:rPr>
              <w:t xml:space="preserve"> </w:t>
            </w:r>
            <w:r>
              <w:rPr>
                <w:rStyle w:val="IndexLink"/>
              </w:rPr>
              <w:t>8.3  Disponibilidade</w:t>
              <w:tab/>
              <w:t>13</w:t>
            </w:r>
          </w:hyperlink>
        </w:p>
        <w:p>
          <w:pPr>
            <w:pStyle w:val="Contents2"/>
            <w:tabs>
              <w:tab w:val="clear" w:pos="9077"/>
              <w:tab w:val="right" w:pos="9638" w:leader="dot"/>
            </w:tabs>
            <w:rPr/>
          </w:pPr>
          <w:hyperlink w:anchor="__RefHeading___Toc9697_1880389447">
            <w:r>
              <w:rPr>
                <w:webHidden/>
                <w:rStyle w:val="IndexLink"/>
              </w:rPr>
              <w:t xml:space="preserve"> </w:t>
            </w:r>
            <w:r>
              <w:rPr>
                <w:rStyle w:val="IndexLink"/>
              </w:rPr>
              <w:t>8.4  Dados utilizados</w:t>
              <w:tab/>
              <w:t>13</w:t>
            </w:r>
          </w:hyperlink>
          <w:r>
            <w:rPr>
              <w:rStyle w:val="IndexLink"/>
            </w:rPr>
            <w:fldChar w:fldCharType="end"/>
          </w:r>
        </w:p>
      </w:sdtContent>
    </w:sdt>
    <w:p>
      <w:pPr>
        <w:pStyle w:val="Normal"/>
        <w:rPr>
          <w:lang w:val="pt-BR"/>
        </w:rPr>
      </w:pPr>
      <w:r>
        <w:rPr/>
        <mc:AlternateContent>
          <mc:Choice Requires="wps">
            <w:drawing>
              <wp:inline distT="0" distB="0" distL="0" distR="0">
                <wp:extent cx="6120130" cy="19050"/>
                <wp:effectExtent l="0" t="0" r="0" b="0"/>
                <wp:docPr id="1" name="Shape1"/>
                <a:graphic xmlns:a="http://schemas.openxmlformats.org/drawingml/2006/main">
                  <a:graphicData uri="http://schemas.microsoft.com/office/word/2010/wordprocessingShape">
                    <wps:wsp>
                      <wps:cNvSpPr/>
                      <wps:spPr>
                        <a:xfrm>
                          <a:off x="0" y="0"/>
                          <a:ext cx="612000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white" stroked="t" o:allowincell="f" style="position:absolute;margin-left:0pt;margin-top:-1.55pt;width:481.85pt;height:1.45pt;mso-wrap-style:none;v-text-anchor:middle;mso-position-vertical:top">
                <v:fill o:detectmouseclick="t" type="solid" color2="black"/>
                <v:stroke color="black" joinstyle="round" endcap="flat"/>
                <w10:wrap type="square"/>
              </v:rect>
            </w:pict>
          </mc:Fallback>
        </mc:AlternateContent>
      </w:r>
    </w:p>
    <w:p>
      <w:pPr>
        <w:pStyle w:val="Normal"/>
        <w:rPr>
          <w:lang w:val="pt-BR"/>
        </w:rPr>
      </w:pPr>
      <w:r>
        <w:rPr>
          <w:lang w:val="pt-BR"/>
        </w:rPr>
      </w:r>
      <w:r>
        <w:br w:type="page"/>
      </w:r>
    </w:p>
    <w:p>
      <w:pPr>
        <w:pStyle w:val="Title"/>
        <w:rPr>
          <w:lang w:val="pt-BR"/>
        </w:rPr>
      </w:pPr>
      <w:r>
        <w:rPr>
          <w:lang w:val="pt-BR"/>
        </w:rPr>
        <w:t>Associação entre vacinação de COVID-19 e internações por SRAG em idosos nas áreas programáticas do Rio de Janeiro/RJ em 2021</w:t>
      </w:r>
    </w:p>
    <w:p>
      <w:pPr>
        <w:pStyle w:val="TextBody"/>
        <w:rPr>
          <w:lang w:val="pt-BR"/>
        </w:rPr>
      </w:pPr>
      <w:r>
        <w:rPr>
          <w:b/>
          <w:bCs/>
          <w:lang w:val="pt-BR"/>
        </w:rPr>
        <w:t>Histórico do documento</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3625"/>
        <w:gridCol w:w="6012"/>
      </w:tblGrid>
      <w:tr>
        <w:trPr/>
        <w:tc>
          <w:tcPr>
            <w:tcW w:w="362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lang w:val="pt-BR"/>
              </w:rPr>
            </w:pPr>
            <w:r>
              <w:rPr>
                <w:b/>
                <w:bCs/>
                <w:i w:val="false"/>
                <w:iCs w:val="false"/>
                <w:strike w:val="false"/>
                <w:dstrike w:val="false"/>
                <w:outline w:val="false"/>
                <w:shadow w:val="false"/>
                <w:color w:val="000000"/>
                <w:sz w:val="22"/>
                <w:szCs w:val="22"/>
                <w:u w:val="none"/>
                <w:lang w:val="pt-BR"/>
              </w:rPr>
              <w:t>Versão</w:t>
            </w:r>
          </w:p>
        </w:tc>
        <w:tc>
          <w:tcPr>
            <w:tcW w:w="6012"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lang w:val="pt-BR"/>
              </w:rPr>
            </w:pPr>
            <w:r>
              <w:rPr>
                <w:b/>
                <w:bCs/>
                <w:i w:val="false"/>
                <w:iCs w:val="false"/>
                <w:strike w:val="false"/>
                <w:dstrike w:val="false"/>
                <w:outline w:val="false"/>
                <w:shadow w:val="false"/>
                <w:color w:val="000000"/>
                <w:sz w:val="22"/>
                <w:szCs w:val="22"/>
                <w:u w:val="none"/>
                <w:lang w:val="pt-BR"/>
              </w:rPr>
              <w:t>Alterações</w:t>
            </w:r>
          </w:p>
        </w:tc>
      </w:tr>
      <w:tr>
        <w:trPr/>
        <w:tc>
          <w:tcPr>
            <w:tcW w:w="362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01</w:t>
            </w:r>
          </w:p>
        </w:tc>
        <w:tc>
          <w:tcPr>
            <w:tcW w:w="6012"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Versão inicial</w:t>
            </w:r>
          </w:p>
        </w:tc>
      </w:tr>
    </w:tbl>
    <w:p>
      <w:pPr>
        <w:pStyle w:val="Normal"/>
        <w:rPr>
          <w:lang w:val="pt-BR"/>
        </w:rPr>
      </w:pPr>
      <w:r>
        <w:rPr/>
        <mc:AlternateContent>
          <mc:Choice Requires="wps">
            <w:drawing>
              <wp:inline distT="0" distB="0" distL="0" distR="0">
                <wp:extent cx="635" cy="19050"/>
                <wp:effectExtent l="0" t="0" r="0" b="0"/>
                <wp:docPr id="2" name="Shape2"/>
                <a:graphic xmlns:a="http://schemas.openxmlformats.org/drawingml/2006/main">
                  <a:graphicData uri="http://schemas.microsoft.com/office/word/2010/wordprocessingShape">
                    <wps:wsp>
                      <wps:cNvSpPr/>
                      <wps:spPr>
                        <a:xfrm>
                          <a:off x="0" y="0"/>
                          <a:ext cx="72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white" stroked="t" o:allowincell="f" style="position:absolute;margin-left:0pt;margin-top:-1.55pt;width:0pt;height:1.45pt;mso-wrap-style:none;v-text-anchor:middle;mso-position-vertical:top">
                <v:fill o:detectmouseclick="t" type="solid" color2="black"/>
                <v:stroke color="black" joinstyle="round" endcap="flat"/>
                <w10:wrap type="square"/>
              </v:rect>
            </w:pict>
          </mc:Fallback>
        </mc:AlternateContent>
      </w:r>
    </w:p>
    <w:p>
      <w:pPr>
        <w:pStyle w:val="Heading1"/>
        <w:rPr>
          <w:lang w:val="pt-BR"/>
        </w:rPr>
      </w:pPr>
      <w:bookmarkStart w:id="0" w:name="__RefHeading___Toc9643_1880389447"/>
      <w:bookmarkEnd w:id="0"/>
      <w:r>
        <w:rPr>
          <w:lang w:val="pt-BR"/>
        </w:rPr>
        <w:t>Lista de abreviaturas</w:t>
      </w:r>
    </w:p>
    <w:p>
      <w:pPr>
        <w:pStyle w:val="Compact"/>
        <w:numPr>
          <w:ilvl w:val="0"/>
          <w:numId w:val="2"/>
        </w:numPr>
        <w:rPr>
          <w:lang w:val="pt-BR"/>
        </w:rPr>
      </w:pPr>
      <w:r>
        <w:rPr>
          <w:lang w:val="pt-BR"/>
        </w:rPr>
        <w:t>AIQ: Amplitude inter-quartil</w:t>
      </w:r>
    </w:p>
    <w:p>
      <w:pPr>
        <w:pStyle w:val="Compact"/>
        <w:numPr>
          <w:ilvl w:val="0"/>
          <w:numId w:val="2"/>
        </w:numPr>
        <w:rPr>
          <w:lang w:val="pt-BR"/>
        </w:rPr>
      </w:pPr>
      <w:r>
        <w:rPr>
          <w:lang w:val="pt-BR"/>
        </w:rPr>
        <w:t>AP: Área programática</w:t>
      </w:r>
    </w:p>
    <w:p>
      <w:pPr>
        <w:pStyle w:val="Compact"/>
        <w:numPr>
          <w:ilvl w:val="0"/>
          <w:numId w:val="2"/>
        </w:numPr>
        <w:rPr>
          <w:lang w:val="pt-BR"/>
        </w:rPr>
      </w:pPr>
      <w:r>
        <w:rPr>
          <w:lang w:val="pt-BR"/>
        </w:rPr>
        <w:t>CV: Coeficiente de variação</w:t>
      </w:r>
    </w:p>
    <w:p>
      <w:pPr>
        <w:pStyle w:val="Compact"/>
        <w:numPr>
          <w:ilvl w:val="0"/>
          <w:numId w:val="2"/>
        </w:numPr>
        <w:rPr>
          <w:lang w:val="pt-BR"/>
        </w:rPr>
      </w:pPr>
      <w:r>
        <w:rPr>
          <w:lang w:val="pt-BR"/>
        </w:rPr>
        <w:t>DP: desvio padrão</w:t>
      </w:r>
    </w:p>
    <w:p>
      <w:pPr>
        <w:pStyle w:val="Compact"/>
        <w:numPr>
          <w:ilvl w:val="0"/>
          <w:numId w:val="2"/>
        </w:numPr>
        <w:rPr>
          <w:lang w:val="pt-BR"/>
        </w:rPr>
      </w:pPr>
      <w:r>
        <w:rPr>
          <w:lang w:val="pt-BR"/>
        </w:rPr>
        <w:t>IC: intervalo de confiança</w:t>
      </w:r>
    </w:p>
    <w:p>
      <w:pPr>
        <w:pStyle w:val="Compact"/>
        <w:numPr>
          <w:ilvl w:val="0"/>
          <w:numId w:val="2"/>
        </w:numPr>
        <w:rPr>
          <w:lang w:val="pt-BR"/>
        </w:rPr>
      </w:pPr>
      <w:bookmarkStart w:id="1" w:name="lista-de-abreviaturas"/>
      <w:r>
        <w:rPr>
          <w:lang w:val="pt-BR"/>
        </w:rPr>
        <w:t>SRAG: Síndrome respiratória aguda grave</w:t>
      </w:r>
      <w:bookmarkEnd w:id="1"/>
    </w:p>
    <w:p>
      <w:pPr>
        <w:pStyle w:val="Heading1"/>
        <w:rPr>
          <w:lang w:val="pt-BR"/>
        </w:rPr>
      </w:pPr>
      <w:bookmarkStart w:id="2" w:name="__RefHeading___Toc9645_1880389447"/>
      <w:bookmarkEnd w:id="2"/>
      <w:r>
        <w:rPr>
          <w:lang w:val="pt-BR"/>
        </w:rPr>
        <w:t>Contexto</w:t>
      </w:r>
    </w:p>
    <w:p>
      <w:pPr>
        <w:pStyle w:val="Heading2"/>
        <w:rPr>
          <w:lang w:val="pt-BR"/>
        </w:rPr>
      </w:pPr>
      <w:bookmarkStart w:id="3" w:name="__RefHeading___Toc9647_1880389447"/>
      <w:bookmarkStart w:id="4" w:name="objetivos"/>
      <w:bookmarkEnd w:id="3"/>
      <w:r>
        <w:rPr>
          <w:lang w:val="pt-BR"/>
        </w:rPr>
        <w:t>Objetivos</w:t>
      </w:r>
      <w:bookmarkEnd w:id="4"/>
    </w:p>
    <w:p>
      <w:pPr>
        <w:pStyle w:val="Heading2"/>
        <w:rPr>
          <w:lang w:val="pt-BR"/>
        </w:rPr>
      </w:pPr>
      <w:bookmarkStart w:id="5" w:name="__RefHeading___Toc9649_1880389447"/>
      <w:bookmarkStart w:id="6" w:name="recepção-e-tratamento-dos-dados"/>
      <w:bookmarkStart w:id="7" w:name="contexto"/>
      <w:bookmarkEnd w:id="5"/>
      <w:r>
        <w:rPr>
          <w:lang w:val="pt-BR"/>
        </w:rPr>
        <w:t>Recepção e tratamento dos dados</w:t>
      </w:r>
      <w:bookmarkEnd w:id="6"/>
      <w:bookmarkEnd w:id="7"/>
    </w:p>
    <w:p>
      <w:pPr>
        <w:pStyle w:val="Heading1"/>
        <w:rPr>
          <w:lang w:val="pt-BR"/>
        </w:rPr>
      </w:pPr>
      <w:bookmarkStart w:id="8" w:name="__RefHeading___Toc9651_1880389447"/>
      <w:bookmarkEnd w:id="8"/>
      <w:r>
        <w:rPr>
          <w:lang w:val="pt-BR"/>
        </w:rPr>
        <w:t>Metodologia</w:t>
      </w:r>
    </w:p>
    <w:p>
      <w:pPr>
        <w:pStyle w:val="Heading2"/>
        <w:rPr>
          <w:lang w:val="pt-BR"/>
        </w:rPr>
      </w:pPr>
      <w:bookmarkStart w:id="9" w:name="__RefHeading___Toc9653_1880389447"/>
      <w:bookmarkEnd w:id="9"/>
      <w:r>
        <w:rPr>
          <w:lang w:val="pt-BR"/>
        </w:rPr>
        <w:t>Parâmetros do estudo</w:t>
      </w:r>
    </w:p>
    <w:p>
      <w:pPr>
        <w:pStyle w:val="Heading3"/>
        <w:rPr>
          <w:lang w:val="pt-BR"/>
        </w:rPr>
      </w:pPr>
      <w:bookmarkStart w:id="10" w:name="__RefHeading___Toc9655_1880389447"/>
      <w:bookmarkStart w:id="11" w:name="desenho-do-estudo"/>
      <w:bookmarkEnd w:id="10"/>
      <w:r>
        <w:rPr>
          <w:lang w:val="pt-BR"/>
        </w:rPr>
        <w:t>Desenho do estudo</w:t>
      </w:r>
      <w:bookmarkEnd w:id="11"/>
    </w:p>
    <w:p>
      <w:pPr>
        <w:pStyle w:val="Heading3"/>
        <w:rPr>
          <w:lang w:val="pt-BR"/>
        </w:rPr>
      </w:pPr>
      <w:bookmarkStart w:id="12" w:name="__RefHeading___Toc9657_1880389447"/>
      <w:bookmarkStart w:id="13" w:name="critérios-de-inclusão-e-exclusão"/>
      <w:bookmarkEnd w:id="12"/>
      <w:r>
        <w:rPr>
          <w:lang w:val="pt-BR"/>
        </w:rPr>
        <w:t>Critérios de inclusão e exclusão</w:t>
      </w:r>
      <w:bookmarkEnd w:id="13"/>
    </w:p>
    <w:p>
      <w:pPr>
        <w:pStyle w:val="Heading3"/>
        <w:rPr>
          <w:lang w:val="pt-BR"/>
        </w:rPr>
      </w:pPr>
      <w:bookmarkStart w:id="14" w:name="__RefHeading___Toc9659_1880389447"/>
      <w:bookmarkStart w:id="15" w:name="exposições"/>
      <w:bookmarkEnd w:id="14"/>
      <w:r>
        <w:rPr>
          <w:lang w:val="pt-BR"/>
        </w:rPr>
        <w:t>Exposições</w:t>
      </w:r>
      <w:bookmarkEnd w:id="15"/>
    </w:p>
    <w:p>
      <w:pPr>
        <w:pStyle w:val="Heading3"/>
        <w:rPr>
          <w:lang w:val="pt-BR"/>
        </w:rPr>
      </w:pPr>
      <w:bookmarkStart w:id="16" w:name="__RefHeading___Toc9661_1880389447"/>
      <w:bookmarkStart w:id="17" w:name="desfechos"/>
      <w:bookmarkEnd w:id="16"/>
      <w:r>
        <w:rPr>
          <w:lang w:val="pt-BR"/>
        </w:rPr>
        <w:t>Desfechos</w:t>
      </w:r>
      <w:bookmarkEnd w:id="17"/>
    </w:p>
    <w:p>
      <w:pPr>
        <w:pStyle w:val="Heading3"/>
        <w:rPr>
          <w:lang w:val="pt-BR"/>
        </w:rPr>
      </w:pPr>
      <w:bookmarkStart w:id="18" w:name="__RefHeading___Toc9663_1880389447"/>
      <w:bookmarkStart w:id="19" w:name="covariáveis"/>
      <w:bookmarkStart w:id="20" w:name="parâmetros-do-estudo"/>
      <w:bookmarkEnd w:id="18"/>
      <w:r>
        <w:rPr>
          <w:lang w:val="pt-BR"/>
        </w:rPr>
        <w:t>Covariáveis</w:t>
      </w:r>
      <w:bookmarkEnd w:id="19"/>
      <w:bookmarkEnd w:id="20"/>
    </w:p>
    <w:p>
      <w:pPr>
        <w:pStyle w:val="Heading2"/>
        <w:rPr/>
      </w:pPr>
      <w:bookmarkStart w:id="21" w:name="__RefHeading___Toc9665_1880389447"/>
      <w:bookmarkStart w:id="22" w:name="análises-estatísticas"/>
      <w:bookmarkStart w:id="23" w:name="metodologia"/>
      <w:bookmarkEnd w:id="21"/>
      <w:r>
        <w:rPr>
          <w:lang w:val="pt-BR"/>
        </w:rPr>
        <w:t>Análises Estatísticas</w:t>
      </w:r>
      <w:bookmarkEnd w:id="22"/>
      <w:bookmarkEnd w:id="23"/>
    </w:p>
    <w:p>
      <w:pPr>
        <w:pStyle w:val="Heading1"/>
        <w:rPr>
          <w:lang w:val="pt-BR"/>
        </w:rPr>
      </w:pPr>
      <w:bookmarkStart w:id="24" w:name="__RefHeading___Toc9667_1880389447"/>
      <w:bookmarkEnd w:id="24"/>
      <w:r>
        <w:rPr>
          <w:lang w:val="pt-BR"/>
        </w:rPr>
        <w:t>Resultados</w:t>
      </w:r>
    </w:p>
    <w:p>
      <w:pPr>
        <w:pStyle w:val="Heading2"/>
        <w:rPr>
          <w:lang w:val="pt-BR"/>
        </w:rPr>
      </w:pPr>
      <w:bookmarkStart w:id="25" w:name="__RefHeading___Toc9669_1880389447"/>
      <w:bookmarkEnd w:id="25"/>
      <w:r>
        <w:rPr>
          <w:lang w:val="pt-BR"/>
        </w:rPr>
        <w:t>População do estudo e acompanhamento</w:t>
      </w:r>
    </w:p>
    <w:p>
      <w:pPr>
        <w:pStyle w:val="FirstParagraph"/>
        <w:rPr>
          <w:lang w:val="pt-BR"/>
        </w:rPr>
      </w:pPr>
      <w:r>
        <w:rPr>
          <w:lang w:val="pt-BR"/>
        </w:rPr>
        <w:t>Conforme o Censo de 2010 as diversas AP do município do Rio de Janeiro possuíam entre 42.565 e 147.246 idosos, a partir de 60 anos (Tabela 1). A AP com menor abundância de idosos era a AP 1.0, enquanto a AP 2.1 possuía a maior população absoluta. Em termos relativos a AP 5.3 possuía a maior proporção de residentes na faixa entre 60-69 anos (59.1%), a AP 3.2 possuía a maior proporção de residentes na faixa entre 70-79 anos (33.4%) e a AP 2.1 possuía a maior proporção de residentes com 80 anos ou mais (23.2%).</w:t>
      </w:r>
    </w:p>
    <w:p>
      <w:pPr>
        <w:pStyle w:val="TableCaption"/>
        <w:rPr>
          <w:lang w:val="pt-BR"/>
        </w:rPr>
      </w:pPr>
      <w:r>
        <w:rPr>
          <w:b/>
          <w:bCs/>
          <w:lang w:val="pt-BR"/>
        </w:rPr>
        <w:t>Tabela 1</w:t>
      </w:r>
      <w:r>
        <w:rPr>
          <w:lang w:val="pt-BR"/>
        </w:rPr>
        <w:t xml:space="preserve"> Perfil epidemiológico</w:t>
      </w:r>
    </w:p>
    <w:tbl>
      <w:tblPr>
        <w:tblStyle w:val="Table"/>
        <w:tblW w:w="9637"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444"/>
        <w:gridCol w:w="1619"/>
        <w:gridCol w:w="1619"/>
        <w:gridCol w:w="1619"/>
        <w:gridCol w:w="1619"/>
        <w:gridCol w:w="1779"/>
        <w:gridCol w:w="937"/>
      </w:tblGrid>
      <w:tr>
        <w:trPr/>
        <w:tc>
          <w:tcPr>
            <w:tcW w:w="44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0"/>
                <w:szCs w:val="20"/>
                <w:u w:val="none"/>
                <w:lang w:val="pt-BR"/>
              </w:rPr>
            </w:pPr>
            <w:r>
              <w:rPr>
                <w:b/>
                <w:bCs/>
                <w:i w:val="false"/>
                <w:iCs w:val="false"/>
                <w:strike w:val="false"/>
                <w:dstrike w:val="false"/>
                <w:outline w:val="false"/>
                <w:shadow w:val="false"/>
                <w:color w:val="000000"/>
                <w:sz w:val="20"/>
                <w:szCs w:val="20"/>
                <w:u w:val="none"/>
                <w:lang w:val="pt-BR"/>
              </w:rPr>
              <w:t>AP</w:t>
            </w:r>
          </w:p>
        </w:tc>
        <w:tc>
          <w:tcPr>
            <w:tcW w:w="161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0"/>
                <w:szCs w:val="20"/>
                <w:u w:val="none"/>
                <w:lang w:val="pt-BR"/>
              </w:rPr>
            </w:pPr>
            <w:r>
              <w:rPr>
                <w:b/>
                <w:bCs/>
                <w:i w:val="false"/>
                <w:iCs w:val="false"/>
                <w:strike w:val="false"/>
                <w:dstrike w:val="false"/>
                <w:outline w:val="false"/>
                <w:shadow w:val="false"/>
                <w:color w:val="000000"/>
                <w:sz w:val="20"/>
                <w:szCs w:val="20"/>
                <w:u w:val="none"/>
                <w:lang w:val="pt-BR"/>
              </w:rPr>
              <w:t>Homens</w:t>
            </w:r>
          </w:p>
        </w:tc>
        <w:tc>
          <w:tcPr>
            <w:tcW w:w="161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0"/>
                <w:szCs w:val="20"/>
                <w:u w:val="none"/>
                <w:lang w:val="pt-BR"/>
              </w:rPr>
            </w:pPr>
            <w:r>
              <w:rPr>
                <w:b/>
                <w:bCs/>
                <w:i w:val="false"/>
                <w:iCs w:val="false"/>
                <w:strike w:val="false"/>
                <w:dstrike w:val="false"/>
                <w:outline w:val="false"/>
                <w:shadow w:val="false"/>
                <w:color w:val="000000"/>
                <w:sz w:val="20"/>
                <w:szCs w:val="20"/>
                <w:u w:val="none"/>
                <w:lang w:val="pt-BR"/>
              </w:rPr>
              <w:t>Mulheres</w:t>
            </w:r>
          </w:p>
        </w:tc>
        <w:tc>
          <w:tcPr>
            <w:tcW w:w="161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0"/>
                <w:szCs w:val="20"/>
                <w:u w:val="none"/>
                <w:lang w:val="pt-BR"/>
              </w:rPr>
            </w:pPr>
            <w:r>
              <w:rPr>
                <w:b/>
                <w:bCs/>
                <w:i w:val="false"/>
                <w:iCs w:val="false"/>
                <w:strike w:val="false"/>
                <w:dstrike w:val="false"/>
                <w:outline w:val="false"/>
                <w:shadow w:val="false"/>
                <w:color w:val="000000"/>
                <w:sz w:val="20"/>
                <w:szCs w:val="20"/>
                <w:u w:val="none"/>
                <w:lang w:val="pt-BR"/>
              </w:rPr>
              <w:t>60-69 anos</w:t>
            </w:r>
          </w:p>
        </w:tc>
        <w:tc>
          <w:tcPr>
            <w:tcW w:w="161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0"/>
                <w:szCs w:val="20"/>
                <w:u w:val="none"/>
                <w:lang w:val="pt-BR"/>
              </w:rPr>
            </w:pPr>
            <w:r>
              <w:rPr>
                <w:b/>
                <w:bCs/>
                <w:i w:val="false"/>
                <w:iCs w:val="false"/>
                <w:strike w:val="false"/>
                <w:dstrike w:val="false"/>
                <w:outline w:val="false"/>
                <w:shadow w:val="false"/>
                <w:color w:val="000000"/>
                <w:sz w:val="20"/>
                <w:szCs w:val="20"/>
                <w:u w:val="none"/>
                <w:lang w:val="pt-BR"/>
              </w:rPr>
              <w:t>70-79 anos</w:t>
            </w:r>
          </w:p>
        </w:tc>
        <w:tc>
          <w:tcPr>
            <w:tcW w:w="177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0"/>
                <w:szCs w:val="20"/>
                <w:u w:val="none"/>
                <w:lang w:val="pt-BR"/>
              </w:rPr>
            </w:pPr>
            <w:r>
              <w:rPr>
                <w:b/>
                <w:bCs/>
                <w:i w:val="false"/>
                <w:iCs w:val="false"/>
                <w:strike w:val="false"/>
                <w:dstrike w:val="false"/>
                <w:outline w:val="false"/>
                <w:shadow w:val="false"/>
                <w:color w:val="000000"/>
                <w:sz w:val="20"/>
                <w:szCs w:val="20"/>
                <w:u w:val="none"/>
                <w:lang w:val="pt-BR"/>
              </w:rPr>
              <w:t>80 anos ou mais</w:t>
            </w:r>
          </w:p>
        </w:tc>
        <w:tc>
          <w:tcPr>
            <w:tcW w:w="937"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0"/>
                <w:szCs w:val="20"/>
                <w:u w:val="none"/>
                <w:lang w:val="pt-BR"/>
              </w:rPr>
            </w:pPr>
            <w:r>
              <w:rPr>
                <w:b/>
                <w:bCs/>
                <w:i w:val="false"/>
                <w:iCs w:val="false"/>
                <w:strike w:val="false"/>
                <w:dstrike w:val="false"/>
                <w:outline w:val="false"/>
                <w:shadow w:val="false"/>
                <w:color w:val="000000"/>
                <w:sz w:val="20"/>
                <w:szCs w:val="20"/>
                <w:u w:val="none"/>
                <w:lang w:val="pt-BR"/>
              </w:rPr>
              <w:t>Total</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1.0</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16.393 (38.5%)</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26.172 (61.5%)</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21.664 (50.9%)</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13.598 (31.9%)</w:t>
            </w:r>
          </w:p>
        </w:tc>
        <w:tc>
          <w:tcPr>
            <w:tcW w:w="17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7.303 (17.2%)</w:t>
            </w:r>
          </w:p>
        </w:tc>
        <w:tc>
          <w:tcPr>
            <w:tcW w:w="937"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42.565</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2.1</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53.593 (36.4%)</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93.653 (63.6%)</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65.481 (44.5%)</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47.550 (32.3%)</w:t>
            </w:r>
          </w:p>
        </w:tc>
        <w:tc>
          <w:tcPr>
            <w:tcW w:w="17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34.215 (23.2%)</w:t>
            </w:r>
          </w:p>
        </w:tc>
        <w:tc>
          <w:tcPr>
            <w:tcW w:w="937"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147.246</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2.2</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29.365 (35.8%)</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52.648 (64.2%)</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36.420 (44.4%)</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27.337 (33.3%)</w:t>
            </w:r>
          </w:p>
        </w:tc>
        <w:tc>
          <w:tcPr>
            <w:tcW w:w="17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18.256 (22.3%)</w:t>
            </w:r>
          </w:p>
        </w:tc>
        <w:tc>
          <w:tcPr>
            <w:tcW w:w="937"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82.013</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3.1</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45.835 (39.4%)</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70.488 (60.6%)</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61.764 (53.1%)</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37.572 (32.3%)</w:t>
            </w:r>
          </w:p>
        </w:tc>
        <w:tc>
          <w:tcPr>
            <w:tcW w:w="17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16.987 (14.6%)</w:t>
            </w:r>
          </w:p>
        </w:tc>
        <w:tc>
          <w:tcPr>
            <w:tcW w:w="937"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116.323</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3.2</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36.774 (37.6%)</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61.078 (62.4%)</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48.058 (49.1%)</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32.716 (33.4%)</w:t>
            </w:r>
          </w:p>
        </w:tc>
        <w:tc>
          <w:tcPr>
            <w:tcW w:w="17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17.078 (17.5%)</w:t>
            </w:r>
          </w:p>
        </w:tc>
        <w:tc>
          <w:tcPr>
            <w:tcW w:w="937"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97.852</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3.3</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54.759 (38.8%)</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86.245 (61.2%)</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74.737 (53.0%)</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45.973 (32.6%)</w:t>
            </w:r>
          </w:p>
        </w:tc>
        <w:tc>
          <w:tcPr>
            <w:tcW w:w="17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20.294 (14.4%)</w:t>
            </w:r>
          </w:p>
        </w:tc>
        <w:tc>
          <w:tcPr>
            <w:tcW w:w="937"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141.004</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4.0</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47.903 (41.3%)</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68.050 (58.7%)</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64.519 (55.6%)</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35.185 (30.3%)</w:t>
            </w:r>
          </w:p>
        </w:tc>
        <w:tc>
          <w:tcPr>
            <w:tcW w:w="17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16.249 (14.0%)</w:t>
            </w:r>
          </w:p>
        </w:tc>
        <w:tc>
          <w:tcPr>
            <w:tcW w:w="937"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115.953</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5.1</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33.724 (39.7%)</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51.165 (60.3%)</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46.995 (55.4%)</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26.584 (31.3%)</w:t>
            </w:r>
          </w:p>
        </w:tc>
        <w:tc>
          <w:tcPr>
            <w:tcW w:w="17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11.310 (13.3%)</w:t>
            </w:r>
          </w:p>
        </w:tc>
        <w:tc>
          <w:tcPr>
            <w:tcW w:w="937"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84.889</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5.2</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26.057 (41.1%)</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37.298 (58.9%)</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36.342 (57.4%)</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19.009 (30.0%)</w:t>
            </w:r>
          </w:p>
        </w:tc>
        <w:tc>
          <w:tcPr>
            <w:tcW w:w="17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8.004 (12.6%)</w:t>
            </w:r>
          </w:p>
        </w:tc>
        <w:tc>
          <w:tcPr>
            <w:tcW w:w="937"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63.355</w:t>
            </w:r>
          </w:p>
        </w:tc>
      </w:tr>
      <w:tr>
        <w:trPr/>
        <w:tc>
          <w:tcPr>
            <w:tcW w:w="4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5.3</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21.065 (42.4%)</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28.586 (57.6%)</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29.345 (59.1%)</w:t>
            </w:r>
          </w:p>
        </w:tc>
        <w:tc>
          <w:tcPr>
            <w:tcW w:w="161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14.759 (29.7%)</w:t>
            </w:r>
          </w:p>
        </w:tc>
        <w:tc>
          <w:tcPr>
            <w:tcW w:w="17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r>
              <w:rPr>
                <w:b w:val="false"/>
                <w:bCs w:val="false"/>
                <w:i w:val="false"/>
                <w:iCs w:val="false"/>
                <w:strike w:val="false"/>
                <w:dstrike w:val="false"/>
                <w:outline w:val="false"/>
                <w:shadow w:val="false"/>
                <w:color w:val="000000"/>
                <w:sz w:val="20"/>
                <w:szCs w:val="20"/>
                <w:u w:val="none"/>
                <w:lang w:val="pt-BR"/>
              </w:rPr>
              <w:t>5.547 (11.2%)</w:t>
            </w:r>
          </w:p>
        </w:tc>
        <w:tc>
          <w:tcPr>
            <w:tcW w:w="937"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0"/>
                <w:szCs w:val="20"/>
                <w:u w:val="none"/>
                <w:lang w:val="pt-BR"/>
              </w:rPr>
            </w:pPr>
            <w:bookmarkStart w:id="26" w:name="população-do-estudo-e-acompanhamento"/>
            <w:r>
              <w:rPr>
                <w:b w:val="false"/>
                <w:bCs w:val="false"/>
                <w:i w:val="false"/>
                <w:iCs w:val="false"/>
                <w:strike w:val="false"/>
                <w:dstrike w:val="false"/>
                <w:outline w:val="false"/>
                <w:shadow w:val="false"/>
                <w:color w:val="000000"/>
                <w:sz w:val="20"/>
                <w:szCs w:val="20"/>
                <w:u w:val="none"/>
                <w:lang w:val="pt-BR"/>
              </w:rPr>
              <w:t>49.651</w:t>
            </w:r>
            <w:bookmarkEnd w:id="26"/>
          </w:p>
        </w:tc>
      </w:tr>
    </w:tbl>
    <w:p>
      <w:pPr>
        <w:pStyle w:val="Heading2"/>
        <w:rPr>
          <w:lang w:val="pt-BR"/>
        </w:rPr>
      </w:pPr>
      <w:bookmarkStart w:id="27" w:name="__RefHeading___Toc9671_1880389447"/>
      <w:bookmarkEnd w:id="27"/>
      <w:r>
        <w:rPr>
          <w:lang w:val="pt-BR"/>
        </w:rPr>
        <w:t>Internações por SRAG em 2021</w:t>
      </w:r>
    </w:p>
    <w:p>
      <w:pPr>
        <w:pStyle w:val="FirstParagraph"/>
        <w:rPr>
          <w:lang w:val="pt-BR"/>
        </w:rPr>
      </w:pPr>
      <w:r>
        <w:rPr>
          <w:lang w:val="pt-BR"/>
        </w:rPr>
        <w:t>O maior número de internações em uma AP em um único mês foi 0,31 observado na AP 3.3 no mês de abril. O menor número de internações foi 0,005 observado nas AP 2.1 e 5.3, ambas em novembro. As dez AP observaram uma média mensal de 0,08 internações ao longo de 2021.</w:t>
      </w:r>
    </w:p>
    <w:p>
      <w:pPr>
        <w:pStyle w:val="CaptionedFigure"/>
        <w:rPr>
          <w:lang w:val="pt-BR"/>
        </w:rPr>
      </w:pPr>
      <w:r>
        <w:rPr/>
        <w:drawing>
          <wp:inline distT="0" distB="0" distL="0" distR="0">
            <wp:extent cx="4333240" cy="5777230"/>
            <wp:effectExtent l="0" t="0" r="0" b="0"/>
            <wp:docPr id="3" name="Picture" descr="Figura 1 Taxas de internações de idosos por SRAG em 2021 nas AP do município do Rio de Janeiro, por 100 habi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a 1 Taxas de internações de idosos por SRAG em 2021 nas AP do município do Rio de Janeiro, por 100 habitantes."/>
                    <pic:cNvPicPr>
                      <a:picLocks noChangeAspect="1" noChangeArrowheads="1"/>
                    </pic:cNvPicPr>
                  </pic:nvPicPr>
                  <pic:blipFill>
                    <a:blip r:embed="rId2"/>
                    <a:stretch>
                      <a:fillRect/>
                    </a:stretch>
                  </pic:blipFill>
                  <pic:spPr bwMode="auto">
                    <a:xfrm>
                      <a:off x="0" y="0"/>
                      <a:ext cx="4333240" cy="5777230"/>
                    </a:xfrm>
                    <a:prstGeom prst="rect">
                      <a:avLst/>
                    </a:prstGeom>
                  </pic:spPr>
                </pic:pic>
              </a:graphicData>
            </a:graphic>
          </wp:inline>
        </w:drawing>
      </w:r>
    </w:p>
    <w:p>
      <w:pPr>
        <w:pStyle w:val="ImageCaption"/>
        <w:rPr>
          <w:lang w:val="pt-BR"/>
        </w:rPr>
      </w:pPr>
      <w:r>
        <w:rPr>
          <w:b/>
          <w:bCs/>
          <w:lang w:val="pt-BR"/>
        </w:rPr>
        <w:t>Figura 1</w:t>
      </w:r>
      <w:r>
        <w:rPr>
          <w:lang w:val="pt-BR"/>
        </w:rPr>
        <w:t xml:space="preserve"> Taxas de internações de idosos por SRAG em 2021 nas AP do município do Rio de Janeiro, por 100 habitantes.</w:t>
      </w:r>
    </w:p>
    <w:p>
      <w:pPr>
        <w:pStyle w:val="Heading2"/>
        <w:rPr>
          <w:lang w:val="pt-BR"/>
        </w:rPr>
      </w:pPr>
      <w:bookmarkStart w:id="28" w:name="__RefHeading___Toc9673_1880389447"/>
      <w:bookmarkStart w:id="29" w:name="cobertura-vacinal-contra-covid-19"/>
      <w:bookmarkEnd w:id="28"/>
      <w:r>
        <w:rPr>
          <w:lang w:val="pt-BR"/>
        </w:rPr>
        <w:t>Cobertura vacinal contra COVID-19</w:t>
      </w:r>
    </w:p>
    <w:p>
      <w:pPr>
        <w:pStyle w:val="FirstParagraph"/>
        <w:rPr>
          <w:lang w:val="pt-BR"/>
        </w:rPr>
      </w:pPr>
      <w:r>
        <w:rPr>
          <w:lang w:val="pt-BR"/>
        </w:rPr>
        <w:t>A amplitude da vacinação nas APs variou entre 0,00 e 0,92 ao longo do ano de 2021. A AP com maior número absoluto de vacinações aplicadas foi a AP 5.2. Com exceção da AP 2.1 todas as outras nove AP registraram zero aplicações de vacinas em pelo menos um mês. Globalmente, as dez AP observaram uma média mensal de 0,05 aplicações de vacinas ao longo de 2021.</w:t>
      </w:r>
    </w:p>
    <w:p>
      <w:pPr>
        <w:pStyle w:val="TextBody"/>
        <w:rPr>
          <w:lang w:val="pt-BR"/>
        </w:rPr>
      </w:pPr>
      <w:r>
        <w:rPr>
          <w:lang w:val="pt-BR"/>
        </w:rPr>
        <w:t>As tendências das curvas de vacinação e a associação com os números de internações por SRAG serão explorados nas próximas seções.</w:t>
      </w:r>
    </w:p>
    <w:p>
      <w:pPr>
        <w:pStyle w:val="Heading3"/>
        <w:rPr>
          <w:lang w:val="pt-BR"/>
        </w:rPr>
      </w:pPr>
      <w:bookmarkStart w:id="30" w:name="__RefHeading___Toc9675_1880389447"/>
      <w:bookmarkStart w:id="31" w:name="idosos-60-69-anos"/>
      <w:bookmarkEnd w:id="30"/>
      <w:r>
        <w:rPr>
          <w:lang w:val="pt-BR"/>
        </w:rPr>
        <w:t>Idosos 60-69 anos</w:t>
      </w:r>
    </w:p>
    <w:p>
      <w:pPr>
        <w:pStyle w:val="CaptionedFigure"/>
        <w:rPr>
          <w:lang w:val="pt-BR"/>
        </w:rPr>
      </w:pPr>
      <w:r>
        <w:rPr/>
        <w:drawing>
          <wp:inline distT="0" distB="0" distL="0" distR="0">
            <wp:extent cx="4333240" cy="5777230"/>
            <wp:effectExtent l="0" t="0" r="0" b="0"/>
            <wp:docPr id="4" name="Image1" descr="Figura 2 Cobertura vacinal da vacina de COVID-19 e taxa de internação de idosos em 2021 r f1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Figura 2 Cobertura vacinal da vacina de COVID-19 e taxa de internação de idosos em 2021 r f1 nas AP do município do Rio de Janeiro."/>
                    <pic:cNvPicPr>
                      <a:picLocks noChangeAspect="1" noChangeArrowheads="1"/>
                    </pic:cNvPicPr>
                  </pic:nvPicPr>
                  <pic:blipFill>
                    <a:blip r:embed="rId3"/>
                    <a:stretch>
                      <a:fillRect/>
                    </a:stretch>
                  </pic:blipFill>
                  <pic:spPr bwMode="auto">
                    <a:xfrm>
                      <a:off x="0" y="0"/>
                      <a:ext cx="4333240" cy="5777230"/>
                    </a:xfrm>
                    <a:prstGeom prst="rect">
                      <a:avLst/>
                    </a:prstGeom>
                  </pic:spPr>
                </pic:pic>
              </a:graphicData>
            </a:graphic>
          </wp:inline>
        </w:drawing>
      </w:r>
    </w:p>
    <w:p>
      <w:pPr>
        <w:pStyle w:val="ImageCaption"/>
        <w:rPr/>
      </w:pPr>
      <w:r>
        <w:rPr>
          <w:b/>
          <w:bCs/>
          <w:lang w:val="pt-BR"/>
        </w:rPr>
        <w:t>Figura 2</w:t>
      </w:r>
      <w:r>
        <w:rPr>
          <w:lang w:val="pt-BR"/>
        </w:rPr>
        <w:t xml:space="preserve"> Cobertura vacinal da vacina de COVID-19 e taxa de internação de idosos em 2021 </w:t>
      </w:r>
      <w:r>
        <w:rPr>
          <w:rStyle w:val="VerbatimChar"/>
          <w:lang w:val="pt-BR"/>
        </w:rPr>
        <w:t>60-69</w:t>
      </w:r>
      <w:r>
        <w:rPr>
          <w:lang w:val="pt-BR"/>
        </w:rPr>
        <w:t xml:space="preserve"> nas AP do município do Rio de Janeiro.</w:t>
      </w:r>
      <w:bookmarkEnd w:id="31"/>
    </w:p>
    <w:p>
      <w:pPr>
        <w:pStyle w:val="Heading3"/>
        <w:rPr>
          <w:lang w:val="pt-BR"/>
        </w:rPr>
      </w:pPr>
      <w:bookmarkStart w:id="32" w:name="__RefHeading___Toc9677_1880389447"/>
      <w:bookmarkStart w:id="33" w:name="idosos-70-79-anos"/>
      <w:bookmarkEnd w:id="32"/>
      <w:r>
        <w:rPr>
          <w:lang w:val="pt-BR"/>
        </w:rPr>
        <w:t>Idosos 70-79 anos</w:t>
      </w:r>
    </w:p>
    <w:p>
      <w:pPr>
        <w:pStyle w:val="CaptionedFigure"/>
        <w:rPr>
          <w:lang w:val="pt-BR"/>
        </w:rPr>
      </w:pPr>
      <w:r>
        <w:rPr/>
        <w:drawing>
          <wp:inline distT="0" distB="0" distL="0" distR="0">
            <wp:extent cx="4333240" cy="5777230"/>
            <wp:effectExtent l="0" t="0" r="0" b="0"/>
            <wp:docPr id="5" name="Image2" descr="Figura 3 Aplicação da dose 2 (ou dose única) da vacina de COVID-19 de idosos em 2021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Figura 3 Aplicação da dose 2 (ou dose única) da vacina de COVID-19 de idosos em 2021 nas AP do município do Rio de Janeiro."/>
                    <pic:cNvPicPr>
                      <a:picLocks noChangeAspect="1" noChangeArrowheads="1"/>
                    </pic:cNvPicPr>
                  </pic:nvPicPr>
                  <pic:blipFill>
                    <a:blip r:embed="rId4"/>
                    <a:stretch>
                      <a:fillRect/>
                    </a:stretch>
                  </pic:blipFill>
                  <pic:spPr bwMode="auto">
                    <a:xfrm>
                      <a:off x="0" y="0"/>
                      <a:ext cx="4333240" cy="5777230"/>
                    </a:xfrm>
                    <a:prstGeom prst="rect">
                      <a:avLst/>
                    </a:prstGeom>
                  </pic:spPr>
                </pic:pic>
              </a:graphicData>
            </a:graphic>
          </wp:inline>
        </w:drawing>
      </w:r>
    </w:p>
    <w:p>
      <w:pPr>
        <w:pStyle w:val="ImageCaption"/>
        <w:rPr>
          <w:lang w:val="pt-BR"/>
        </w:rPr>
      </w:pPr>
      <w:r>
        <w:rPr>
          <w:b/>
          <w:bCs/>
          <w:lang w:val="pt-BR"/>
        </w:rPr>
        <w:t>Figura 3</w:t>
      </w:r>
      <w:r>
        <w:rPr>
          <w:lang w:val="pt-BR"/>
        </w:rPr>
        <w:t xml:space="preserve"> </w:t>
      </w:r>
      <w:bookmarkEnd w:id="33"/>
      <w:r>
        <w:rPr>
          <w:lang w:val="pt-BR"/>
        </w:rPr>
        <w:t>Cobertura vacinal da vacina de COVID-19 e taxa de internação de idosos em 2021 7</w:t>
      </w:r>
      <w:r>
        <w:rPr>
          <w:rStyle w:val="VerbatimChar"/>
          <w:lang w:val="pt-BR"/>
        </w:rPr>
        <w:t>0-79</w:t>
      </w:r>
      <w:r>
        <w:rPr>
          <w:lang w:val="pt-BR"/>
        </w:rPr>
        <w:t xml:space="preserve"> nas AP do município do Rio de Janeiro.</w:t>
      </w:r>
    </w:p>
    <w:p>
      <w:pPr>
        <w:pStyle w:val="Heading3"/>
        <w:rPr>
          <w:lang w:val="pt-BR"/>
        </w:rPr>
      </w:pPr>
      <w:bookmarkStart w:id="34" w:name="__RefHeading___Toc9679_1880389447"/>
      <w:bookmarkStart w:id="35" w:name="idosos-80-anos-ou-mais"/>
      <w:bookmarkEnd w:id="34"/>
      <w:r>
        <w:rPr>
          <w:lang w:val="pt-BR"/>
        </w:rPr>
        <w:t>Idosos 80 anos ou mais</w:t>
      </w:r>
    </w:p>
    <w:p>
      <w:pPr>
        <w:pStyle w:val="CaptionedFigure"/>
        <w:rPr>
          <w:lang w:val="pt-BR"/>
        </w:rPr>
      </w:pPr>
      <w:r>
        <w:rPr/>
        <w:drawing>
          <wp:inline distT="0" distB="0" distL="0" distR="0">
            <wp:extent cx="4333240" cy="5777230"/>
            <wp:effectExtent l="0" t="0" r="0" b="0"/>
            <wp:docPr id="6" name="Image3" descr="Figura 4 Aplicação da dose de reforço da vacina de COVID-19 de idosos em 2021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Figura 4 Aplicação da dose de reforço da vacina de COVID-19 de idosos em 2021 nas AP do município do Rio de Janeiro."/>
                    <pic:cNvPicPr>
                      <a:picLocks noChangeAspect="1" noChangeArrowheads="1"/>
                    </pic:cNvPicPr>
                  </pic:nvPicPr>
                  <pic:blipFill>
                    <a:blip r:embed="rId5"/>
                    <a:stretch>
                      <a:fillRect/>
                    </a:stretch>
                  </pic:blipFill>
                  <pic:spPr bwMode="auto">
                    <a:xfrm>
                      <a:off x="0" y="0"/>
                      <a:ext cx="4333240" cy="5777230"/>
                    </a:xfrm>
                    <a:prstGeom prst="rect">
                      <a:avLst/>
                    </a:prstGeom>
                  </pic:spPr>
                </pic:pic>
              </a:graphicData>
            </a:graphic>
          </wp:inline>
        </w:drawing>
      </w:r>
    </w:p>
    <w:p>
      <w:pPr>
        <w:pStyle w:val="ImageCaption"/>
        <w:rPr>
          <w:lang w:val="pt-BR"/>
        </w:rPr>
      </w:pPr>
      <w:r>
        <w:rPr>
          <w:b/>
          <w:bCs/>
          <w:lang w:val="pt-BR"/>
        </w:rPr>
        <w:t>Figura 4</w:t>
      </w:r>
      <w:r>
        <w:rPr>
          <w:lang w:val="pt-BR"/>
        </w:rPr>
        <w:t xml:space="preserve"> </w:t>
      </w:r>
      <w:bookmarkEnd w:id="29"/>
      <w:bookmarkEnd w:id="35"/>
      <w:r>
        <w:rPr>
          <w:lang w:val="pt-BR"/>
        </w:rPr>
        <w:t>Cobertura vacinal da vacina de COVID-19 e taxa de internação de idosos em 2021 80 anos ou mais nas AP do município do Rio de Janeiro.</w:t>
      </w:r>
    </w:p>
    <w:p>
      <w:pPr>
        <w:pStyle w:val="Heading2"/>
        <w:keepLines/>
        <w:widowControl/>
        <w:numPr>
          <w:ilvl w:val="0"/>
          <w:numId w:val="0"/>
        </w:numPr>
        <w:suppressAutoHyphens w:val="true"/>
        <w:ind w:left="0" w:hanging="0"/>
        <w:jc w:val="left"/>
        <w:rPr>
          <w:lang w:val="pt-BR"/>
        </w:rPr>
      </w:pPr>
      <w:r>
        <w:rPr>
          <w:lang w:val="pt-BR"/>
        </w:rPr>
      </w:r>
      <w:r>
        <w:br w:type="page"/>
      </w:r>
    </w:p>
    <w:p>
      <w:pPr>
        <w:pStyle w:val="Heading2"/>
        <w:rPr>
          <w:lang w:val="pt-BR"/>
        </w:rPr>
      </w:pPr>
      <w:bookmarkStart w:id="36" w:name="__RefHeading___Toc9681_1880389447"/>
      <w:bookmarkEnd w:id="36"/>
      <w:r>
        <w:rPr>
          <w:lang w:val="pt-BR"/>
        </w:rPr>
        <w:t>Associação entre internações e vacinação</w:t>
      </w:r>
    </w:p>
    <w:p>
      <w:pPr>
        <w:pStyle w:val="TableCaption"/>
        <w:rPr>
          <w:lang w:val="pt-BR"/>
        </w:rPr>
      </w:pPr>
      <w:r>
        <w:rPr>
          <w:b/>
          <w:bCs/>
          <w:lang w:val="pt-BR"/>
        </w:rPr>
        <w:t>Tabela xx</w:t>
      </w:r>
      <w:r>
        <w:rPr>
          <w:lang w:val="pt-BR"/>
        </w:rPr>
        <w:t xml:space="preserve"> caption.</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3949"/>
        <w:gridCol w:w="882"/>
        <w:gridCol w:w="1833"/>
        <w:gridCol w:w="1255"/>
      </w:tblGrid>
      <w:tr>
        <w:trPr/>
        <w:tc>
          <w:tcPr>
            <w:tcW w:w="394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lang w:val="pt-BR"/>
              </w:rPr>
            </w:pPr>
            <w:r>
              <w:rPr>
                <w:b/>
                <w:bCs/>
                <w:i w:val="false"/>
                <w:iCs w:val="false"/>
                <w:strike w:val="false"/>
                <w:dstrike w:val="false"/>
                <w:outline w:val="false"/>
                <w:shadow w:val="false"/>
                <w:color w:val="000000"/>
                <w:sz w:val="22"/>
                <w:szCs w:val="22"/>
                <w:u w:val="none"/>
                <w:lang w:val="pt-BR"/>
              </w:rPr>
              <w:t>Características</w:t>
            </w:r>
          </w:p>
        </w:tc>
        <w:tc>
          <w:tcPr>
            <w:tcW w:w="88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lang w:val="pt-BR"/>
              </w:rPr>
            </w:pPr>
            <w:r>
              <w:rPr>
                <w:b/>
                <w:bCs/>
                <w:i w:val="false"/>
                <w:iCs w:val="false"/>
                <w:strike w:val="false"/>
                <w:dstrike w:val="false"/>
                <w:outline w:val="false"/>
                <w:shadow w:val="false"/>
                <w:color w:val="000000"/>
                <w:sz w:val="22"/>
                <w:szCs w:val="22"/>
                <w:u w:val="none"/>
                <w:lang w:val="pt-BR"/>
              </w:rPr>
              <w:t>Beta</w:t>
            </w:r>
          </w:p>
        </w:tc>
        <w:tc>
          <w:tcPr>
            <w:tcW w:w="1833"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lang w:val="pt-BR"/>
              </w:rPr>
            </w:pPr>
            <w:r>
              <w:rPr>
                <w:b/>
                <w:bCs/>
                <w:i w:val="false"/>
                <w:iCs w:val="false"/>
                <w:strike w:val="false"/>
                <w:dstrike w:val="false"/>
                <w:outline w:val="false"/>
                <w:shadow w:val="false"/>
                <w:color w:val="000000"/>
                <w:sz w:val="22"/>
                <w:szCs w:val="22"/>
                <w:u w:val="none"/>
                <w:lang w:val="pt-BR"/>
              </w:rPr>
              <w:t>95% IC</w:t>
            </w:r>
          </w:p>
        </w:tc>
        <w:tc>
          <w:tcPr>
            <w:tcW w:w="1255"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lang w:val="pt-BR"/>
              </w:rPr>
            </w:pPr>
            <w:r>
              <w:rPr>
                <w:b/>
                <w:bCs/>
                <w:i w:val="false"/>
                <w:iCs w:val="false"/>
                <w:strike w:val="false"/>
                <w:dstrike w:val="false"/>
                <w:outline w:val="false"/>
                <w:shadow w:val="false"/>
                <w:color w:val="000000"/>
                <w:sz w:val="22"/>
                <w:szCs w:val="22"/>
                <w:u w:val="none"/>
                <w:lang w:val="pt-BR"/>
              </w:rPr>
              <w:t>Valor p</w:t>
            </w:r>
          </w:p>
        </w:tc>
      </w:tr>
      <w:tr>
        <w:trPr/>
        <w:tc>
          <w:tcPr>
            <w:tcW w:w="3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Estimativa bruta</w:t>
            </w:r>
          </w:p>
        </w:tc>
        <w:tc>
          <w:tcPr>
            <w:tcW w:w="8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0.13</w:t>
            </w:r>
          </w:p>
        </w:tc>
        <w:tc>
          <w:tcPr>
            <w:tcW w:w="183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0.10 to 0.16</w:t>
            </w:r>
          </w:p>
        </w:tc>
        <w:tc>
          <w:tcPr>
            <w:tcW w:w="125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&lt;0.001</w:t>
            </w:r>
          </w:p>
        </w:tc>
      </w:tr>
      <w:tr>
        <w:trPr/>
        <w:tc>
          <w:tcPr>
            <w:tcW w:w="3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Controlada por AP</w:t>
            </w:r>
          </w:p>
        </w:tc>
        <w:tc>
          <w:tcPr>
            <w:tcW w:w="8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0.12</w:t>
            </w:r>
          </w:p>
        </w:tc>
        <w:tc>
          <w:tcPr>
            <w:tcW w:w="183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0.09 to 0.15</w:t>
            </w:r>
          </w:p>
        </w:tc>
        <w:tc>
          <w:tcPr>
            <w:tcW w:w="125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&lt;0.001</w:t>
            </w:r>
          </w:p>
        </w:tc>
      </w:tr>
      <w:tr>
        <w:trPr/>
        <w:tc>
          <w:tcPr>
            <w:tcW w:w="3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Controlada por faixa etária</w:t>
            </w:r>
          </w:p>
        </w:tc>
        <w:tc>
          <w:tcPr>
            <w:tcW w:w="8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0.12</w:t>
            </w:r>
          </w:p>
        </w:tc>
        <w:tc>
          <w:tcPr>
            <w:tcW w:w="183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0.09 to 0.15</w:t>
            </w:r>
          </w:p>
        </w:tc>
        <w:tc>
          <w:tcPr>
            <w:tcW w:w="125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&lt;0.001</w:t>
            </w:r>
          </w:p>
        </w:tc>
      </w:tr>
      <w:tr>
        <w:trPr/>
        <w:tc>
          <w:tcPr>
            <w:tcW w:w="3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Modelo final (completo)</w:t>
            </w:r>
          </w:p>
        </w:tc>
        <w:tc>
          <w:tcPr>
            <w:tcW w:w="8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0.13</w:t>
            </w:r>
          </w:p>
        </w:tc>
        <w:tc>
          <w:tcPr>
            <w:tcW w:w="183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r>
              <w:rPr>
                <w:b w:val="false"/>
                <w:bCs w:val="false"/>
                <w:i w:val="false"/>
                <w:iCs w:val="false"/>
                <w:strike w:val="false"/>
                <w:dstrike w:val="false"/>
                <w:outline w:val="false"/>
                <w:shadow w:val="false"/>
                <w:color w:val="000000"/>
                <w:sz w:val="22"/>
                <w:szCs w:val="22"/>
                <w:u w:val="none"/>
                <w:lang w:val="pt-BR"/>
              </w:rPr>
              <w:t>0.10 to 0.16</w:t>
            </w:r>
          </w:p>
        </w:tc>
        <w:tc>
          <w:tcPr>
            <w:tcW w:w="125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rPr>
            </w:pPr>
            <w:bookmarkStart w:id="37" w:name="associação-entre-internações-e-vacinação"/>
            <w:bookmarkStart w:id="38" w:name="resultados"/>
            <w:r>
              <w:rPr>
                <w:b w:val="false"/>
                <w:bCs w:val="false"/>
                <w:i w:val="false"/>
                <w:iCs w:val="false"/>
                <w:strike w:val="false"/>
                <w:dstrike w:val="false"/>
                <w:outline w:val="false"/>
                <w:shadow w:val="false"/>
                <w:color w:val="000000"/>
                <w:sz w:val="22"/>
                <w:szCs w:val="22"/>
                <w:u w:val="none"/>
                <w:lang w:val="pt-BR"/>
              </w:rPr>
              <w:t>&lt;0.001</w:t>
            </w:r>
            <w:bookmarkEnd w:id="37"/>
            <w:bookmarkEnd w:id="38"/>
          </w:p>
        </w:tc>
      </w:tr>
    </w:tbl>
    <w:p>
      <w:pPr>
        <w:pStyle w:val="Heading1"/>
        <w:rPr>
          <w:lang w:val="pt-BR"/>
        </w:rPr>
      </w:pPr>
      <w:bookmarkStart w:id="39" w:name="__RefHeading___Toc9683_1880389447"/>
      <w:bookmarkEnd w:id="39"/>
      <w:r>
        <w:rPr>
          <w:lang w:val="pt-BR"/>
        </w:rPr>
        <w:t>Observações e limitações</w:t>
      </w:r>
    </w:p>
    <w:p>
      <w:pPr>
        <w:pStyle w:val="FirstParagraph"/>
        <w:rPr>
          <w:lang w:val="pt-BR"/>
        </w:rPr>
      </w:pPr>
      <w:r>
        <w:rPr>
          <w:b/>
          <w:bCs/>
          <w:lang w:val="pt-BR"/>
        </w:rPr>
        <w:t>Perfil epidemiológico estático</w:t>
      </w:r>
    </w:p>
    <w:p>
      <w:pPr>
        <w:pStyle w:val="TextBody"/>
        <w:rPr>
          <w:lang w:val="pt-BR"/>
        </w:rPr>
      </w:pPr>
      <w:r>
        <w:rPr>
          <w:lang w:val="pt-BR"/>
        </w:rPr>
        <w:t>Os dados utilizados para a descrição do perfil epidemiológico dos idosos neste estudo vêm do Censo 2010, e portando não variam ao longo do ano de 2021. Por este motivo, não foi possível utilizar o sexo e o tamanho da população como covariáveis para ajustar a incidência de casos de SRAG. Por este motivo apenas o número de casos foi reportado nesta análise.</w:t>
      </w:r>
    </w:p>
    <w:p>
      <w:pPr>
        <w:pStyle w:val="TextBody"/>
        <w:rPr>
          <w:lang w:val="pt-BR"/>
        </w:rPr>
      </w:pPr>
      <w:r>
        <w:rPr>
          <w:b/>
          <w:bCs/>
          <w:lang w:val="pt-BR"/>
        </w:rPr>
        <w:t>Censo desatualizado</w:t>
      </w:r>
    </w:p>
    <w:p>
      <w:pPr>
        <w:pStyle w:val="TextBody"/>
        <w:rPr>
          <w:lang w:val="pt-BR"/>
        </w:rPr>
      </w:pPr>
      <w:r>
        <w:rPr>
          <w:lang w:val="pt-BR"/>
        </w:rPr>
        <w:t>Além do mencionado acima, os dados que descrevem o perfil estão desatualizados em relação aos valores reais da população alvo. Isto introduziria um risco de viés em estimativas de incidência de SRAG pois, se a população atual for maior que a população descrita em 2010, a taxa de incidência com base nos casos de 2021 será menor que o avaliado com os dados disponíveis. Por este motivo apenas o número de casos foi reportado nesta análise.</w:t>
      </w:r>
    </w:p>
    <w:p>
      <w:pPr>
        <w:pStyle w:val="Heading1"/>
        <w:rPr>
          <w:lang w:val="pt-BR"/>
        </w:rPr>
      </w:pPr>
      <w:bookmarkStart w:id="40" w:name="__RefHeading___Toc9685_1880389447"/>
      <w:bookmarkStart w:id="41" w:name="conclusões"/>
      <w:bookmarkEnd w:id="40"/>
      <w:r>
        <w:rPr>
          <w:lang w:val="pt-BR"/>
        </w:rPr>
        <w:t>Conclusões</w:t>
      </w:r>
      <w:bookmarkEnd w:id="41"/>
    </w:p>
    <w:p>
      <w:pPr>
        <w:pStyle w:val="Heading1"/>
        <w:rPr>
          <w:lang w:val="pt-BR"/>
        </w:rPr>
      </w:pPr>
      <w:bookmarkStart w:id="42" w:name="__RefHeading___Toc9687_1880389447"/>
      <w:bookmarkStart w:id="43" w:name="referências"/>
      <w:bookmarkEnd w:id="42"/>
      <w:r>
        <w:rPr>
          <w:lang w:val="pt-BR"/>
        </w:rPr>
        <w:t>Referências</w:t>
      </w:r>
    </w:p>
    <w:p>
      <w:pPr>
        <w:pStyle w:val="Compact"/>
        <w:numPr>
          <w:ilvl w:val="0"/>
          <w:numId w:val="4"/>
        </w:numPr>
        <w:rPr>
          <w:lang w:val="pt-BR"/>
        </w:rPr>
      </w:pPr>
      <w:r>
        <w:rPr>
          <w:b/>
          <w:bCs/>
          <w:lang w:val="pt-BR"/>
        </w:rPr>
        <w:t>SAP-2022-016-JB-v02</w:t>
      </w:r>
      <w:r>
        <w:rPr>
          <w:lang w:val="pt-BR"/>
        </w:rPr>
        <w:t xml:space="preserve"> – Plano Analítico para Associação entre vacinação de COVID-19 e internações por SRAG em idosos nas áreas programáticas do Rio de Janeiro/RJ em 2021</w:t>
      </w:r>
      <w:bookmarkEnd w:id="43"/>
    </w:p>
    <w:p>
      <w:pPr>
        <w:pStyle w:val="Heading1"/>
        <w:rPr>
          <w:lang w:val="pt-BR"/>
        </w:rPr>
      </w:pPr>
      <w:bookmarkStart w:id="44" w:name="__RefHeading___Toc9689_1880389447"/>
      <w:bookmarkEnd w:id="44"/>
      <w:r>
        <w:rPr>
          <w:lang w:val="pt-BR"/>
        </w:rPr>
        <w:t>Apêndice</w:t>
      </w:r>
    </w:p>
    <w:p>
      <w:pPr>
        <w:pStyle w:val="Heading2"/>
        <w:rPr>
          <w:lang w:val="pt-BR"/>
        </w:rPr>
      </w:pPr>
      <w:bookmarkStart w:id="45" w:name="__RefHeading___Toc9691_1880389447"/>
      <w:bookmarkStart w:id="46" w:name="análise-exploratória-de-dados"/>
      <w:bookmarkEnd w:id="45"/>
      <w:r>
        <w:rPr>
          <w:lang w:val="pt-BR"/>
        </w:rPr>
        <w:t>Análise exploratória de dados</w:t>
      </w:r>
    </w:p>
    <w:p>
      <w:pPr>
        <w:pStyle w:val="FirstParagraph"/>
        <w:rPr>
          <w:lang w:val="pt-BR"/>
        </w:rPr>
      </w:pPr>
      <w:r>
        <w:rPr>
          <w:lang w:val="pt-BR"/>
        </w:rPr>
        <w:t>As figuras A1 e A2 mostram os histogramas das duas principais variáveis da análise.</w:t>
      </w:r>
    </w:p>
    <w:p>
      <w:pPr>
        <w:pStyle w:val="CaptionedFigure"/>
        <w:rPr>
          <w:lang w:val="pt-BR"/>
        </w:rPr>
      </w:pPr>
      <w:r>
        <w:rPr/>
        <w:drawing>
          <wp:inline distT="0" distB="0" distL="0" distR="0">
            <wp:extent cx="4333240" cy="5777230"/>
            <wp:effectExtent l="0" t="0" r="0" b="0"/>
            <wp:docPr id="7" name="Image4" descr="Figura A1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Figura A1 caption"/>
                    <pic:cNvPicPr>
                      <a:picLocks noChangeAspect="1" noChangeArrowheads="1"/>
                    </pic:cNvPicPr>
                  </pic:nvPicPr>
                  <pic:blipFill>
                    <a:blip r:embed="rId6"/>
                    <a:stretch>
                      <a:fillRect/>
                    </a:stretch>
                  </pic:blipFill>
                  <pic:spPr bwMode="auto">
                    <a:xfrm>
                      <a:off x="0" y="0"/>
                      <a:ext cx="4333240" cy="5777230"/>
                    </a:xfrm>
                    <a:prstGeom prst="rect">
                      <a:avLst/>
                    </a:prstGeom>
                  </pic:spPr>
                </pic:pic>
              </a:graphicData>
            </a:graphic>
          </wp:inline>
        </w:drawing>
      </w:r>
    </w:p>
    <w:p>
      <w:pPr>
        <w:pStyle w:val="ImageCaption"/>
        <w:rPr>
          <w:lang w:val="pt-BR"/>
        </w:rPr>
      </w:pPr>
      <w:r>
        <w:rPr>
          <w:b/>
          <w:bCs/>
          <w:lang w:val="pt-BR"/>
        </w:rPr>
        <w:t>Figura A1</w:t>
      </w:r>
      <w:r>
        <w:rPr>
          <w:lang w:val="pt-BR"/>
        </w:rPr>
        <w:t xml:space="preserve"> caption</w:t>
      </w:r>
    </w:p>
    <w:p>
      <w:pPr>
        <w:pStyle w:val="TextBody"/>
        <w:rPr>
          <w:lang w:val="pt-BR"/>
        </w:rPr>
      </w:pPr>
      <w:r>
        <w:rPr>
          <w:lang w:val="pt-BR"/>
        </w:rPr>
        <w:t xml:space="preserve">Destaca-se a grande variabilidade do esforço vacinal, onde o DP (0 aplicações de vacinas) é consideravelmente maior que a média. Isso indica baixa consistência com que este esforço foi aplicado com sucesso nas populações destas regiões. O CV da vacinação é 241.1% enquanto que o CV das internações é 66.2%. As distribuições destas duas variáveis podem ser visualizadas nas figuras A1 e A2 no apêndice. A distribuição das vacinações mensais nas AP tem forte concentração à esquerda com longa cauda à direita, exibindo características de uma distribuição Log-Normal. </w:t>
      </w:r>
    </w:p>
    <w:p>
      <w:pPr>
        <w:pStyle w:val="CaptionedFigure"/>
        <w:rPr>
          <w:lang w:val="pt-BR"/>
        </w:rPr>
      </w:pPr>
      <w:r>
        <w:rPr/>
        <w:drawing>
          <wp:inline distT="0" distB="0" distL="0" distR="0">
            <wp:extent cx="4333240" cy="5777230"/>
            <wp:effectExtent l="0" t="0" r="0" b="0"/>
            <wp:docPr id="8" name="Image5" descr="Figura A2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Figura A2 caption"/>
                    <pic:cNvPicPr>
                      <a:picLocks noChangeAspect="1" noChangeArrowheads="1"/>
                    </pic:cNvPicPr>
                  </pic:nvPicPr>
                  <pic:blipFill>
                    <a:blip r:embed="rId7"/>
                    <a:stretch>
                      <a:fillRect/>
                    </a:stretch>
                  </pic:blipFill>
                  <pic:spPr bwMode="auto">
                    <a:xfrm>
                      <a:off x="0" y="0"/>
                      <a:ext cx="4333240" cy="5777230"/>
                    </a:xfrm>
                    <a:prstGeom prst="rect">
                      <a:avLst/>
                    </a:prstGeom>
                  </pic:spPr>
                </pic:pic>
              </a:graphicData>
            </a:graphic>
          </wp:inline>
        </w:drawing>
      </w:r>
    </w:p>
    <w:p>
      <w:pPr>
        <w:pStyle w:val="ImageCaption"/>
        <w:rPr>
          <w:lang w:val="pt-BR"/>
        </w:rPr>
      </w:pPr>
      <w:r>
        <w:rPr>
          <w:b/>
          <w:bCs/>
          <w:lang w:val="pt-BR"/>
        </w:rPr>
        <w:t>Figura A2</w:t>
      </w:r>
      <w:r>
        <w:rPr>
          <w:lang w:val="pt-BR"/>
        </w:rPr>
        <w:t xml:space="preserve"> caption</w:t>
      </w:r>
      <w:bookmarkEnd w:id="46"/>
    </w:p>
    <w:p>
      <w:pPr>
        <w:pStyle w:val="Heading2"/>
        <w:rPr>
          <w:lang w:val="pt-BR"/>
        </w:rPr>
      </w:pPr>
      <w:bookmarkStart w:id="47" w:name="__RefHeading___Toc9693_1880389447"/>
      <w:bookmarkEnd w:id="47"/>
      <w:r>
        <w:rPr>
          <w:lang w:val="pt-BR"/>
        </w:rPr>
        <w:t>Estratégia de modelagem</w:t>
      </w:r>
    </w:p>
    <w:p>
      <w:pPr>
        <w:pStyle w:val="TableCaption"/>
        <w:rPr>
          <w:lang w:val="pt-BR"/>
        </w:rPr>
      </w:pPr>
      <w:r>
        <w:rPr>
          <w:b/>
          <w:bCs/>
          <w:lang w:val="pt-BR"/>
        </w:rPr>
        <w:t>Tabela A1</w:t>
      </w:r>
      <w:r>
        <w:rPr>
          <w:lang w:val="pt-BR"/>
        </w:rPr>
        <w:t xml:space="preserve"> caption.</w:t>
      </w:r>
    </w:p>
    <w:tbl>
      <w:tblPr>
        <w:tblStyle w:val="Table"/>
        <w:tblW w:w="9746"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670"/>
        <w:gridCol w:w="537"/>
        <w:gridCol w:w="741"/>
        <w:gridCol w:w="740"/>
        <w:gridCol w:w="537"/>
        <w:gridCol w:w="741"/>
        <w:gridCol w:w="742"/>
        <w:gridCol w:w="537"/>
        <w:gridCol w:w="740"/>
        <w:gridCol w:w="741"/>
        <w:gridCol w:w="537"/>
        <w:gridCol w:w="742"/>
        <w:gridCol w:w="740"/>
      </w:tblGrid>
      <w:tr>
        <w:trPr/>
        <w:tc>
          <w:tcPr>
            <w:tcW w:w="167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Características</w:t>
            </w:r>
          </w:p>
        </w:tc>
        <w:tc>
          <w:tcPr>
            <w:tcW w:w="53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Beta</w:t>
            </w:r>
          </w:p>
        </w:tc>
        <w:tc>
          <w:tcPr>
            <w:tcW w:w="74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95% IC</w:t>
            </w:r>
          </w:p>
        </w:tc>
        <w:tc>
          <w:tcPr>
            <w:tcW w:w="74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Valor p</w:t>
            </w:r>
          </w:p>
        </w:tc>
        <w:tc>
          <w:tcPr>
            <w:tcW w:w="53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Beta</w:t>
            </w:r>
          </w:p>
        </w:tc>
        <w:tc>
          <w:tcPr>
            <w:tcW w:w="74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95% IC</w:t>
            </w:r>
          </w:p>
        </w:tc>
        <w:tc>
          <w:tcPr>
            <w:tcW w:w="74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Valor p</w:t>
            </w:r>
          </w:p>
        </w:tc>
        <w:tc>
          <w:tcPr>
            <w:tcW w:w="53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Beta</w:t>
            </w:r>
          </w:p>
        </w:tc>
        <w:tc>
          <w:tcPr>
            <w:tcW w:w="74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95% IC</w:t>
            </w:r>
          </w:p>
        </w:tc>
        <w:tc>
          <w:tcPr>
            <w:tcW w:w="74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Valor p</w:t>
            </w:r>
          </w:p>
        </w:tc>
        <w:tc>
          <w:tcPr>
            <w:tcW w:w="53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Beta</w:t>
            </w:r>
          </w:p>
        </w:tc>
        <w:tc>
          <w:tcPr>
            <w:tcW w:w="74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95% IC</w:t>
            </w:r>
          </w:p>
        </w:tc>
        <w:tc>
          <w:tcPr>
            <w:tcW w:w="740"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8"/>
                <w:szCs w:val="18"/>
                <w:u w:val="none"/>
                <w:lang w:val="pt-BR"/>
              </w:rPr>
            </w:pPr>
            <w:r>
              <w:rPr>
                <w:b/>
                <w:bCs/>
                <w:i w:val="false"/>
                <w:iCs w:val="false"/>
                <w:strike w:val="false"/>
                <w:dstrike w:val="false"/>
                <w:outline w:val="false"/>
                <w:shadow w:val="false"/>
                <w:color w:val="000000"/>
                <w:sz w:val="18"/>
                <w:szCs w:val="18"/>
                <w:u w:val="none"/>
                <w:lang w:val="pt-BR"/>
              </w:rPr>
              <w:t>Valor p</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Cobertura de vacinação contra COVID-19</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0.13</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0.10 to 0.16</w:t>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0.12</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0.09 to 0.15</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0.12</w:t>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0.09 to 0.15</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0.13</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0.10 to 0.16</w:t>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AP</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1.0</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2.1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-0.04 to -0.02</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-0.04 to -0.02</w:t>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2.2</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-0.05 to -0.02</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-0.05 to -0.02</w:t>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3.1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-0.04 to -0.01</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-0.04 to -0.01</w:t>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3.2</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-0.04 to -0.01</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-0.04 to -0.01</w:t>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&lt;0.001</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3.3</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 to 0.00</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 to 0.00</w:t>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0.009</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4.0</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 to 0.01</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0.221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 to 0.01</w:t>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0.208</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5.1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 to 0.00</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0.023</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 to 0.00</w:t>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0.020</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5.2</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 to 0.00</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0.013</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 to 0.00</w:t>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0.011</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5.3</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 to 0.00</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0.012</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 to 0.00</w:t>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0.010</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Faixa etária</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60-69 anos</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w:t>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70-79 anos</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0.00</w:t>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 to 0.00</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0.370</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0.00</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 to 0.00</w:t>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0.396</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80 anos ou mais</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w:t>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 to 0.00</w:t>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0.002</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-0.02 to 0.00</w:t>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0.003</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Dose</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d1</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d2</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0.00</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-0.01 to 0.01</w:t>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0.982</w:t>
            </w:r>
          </w:p>
        </w:tc>
      </w:tr>
      <w:tr>
        <w:trPr/>
        <w:tc>
          <w:tcPr>
            <w:tcW w:w="167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dr</w:t>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r>
          </w:p>
        </w:tc>
        <w:tc>
          <w:tcPr>
            <w:tcW w:w="537"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-0.03</w:t>
            </w:r>
          </w:p>
        </w:tc>
        <w:tc>
          <w:tcPr>
            <w:tcW w:w="7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r>
              <w:rPr>
                <w:b w:val="false"/>
                <w:bCs w:val="false"/>
                <w:i w:val="false"/>
                <w:iCs w:val="false"/>
                <w:strike w:val="false"/>
                <w:dstrike w:val="false"/>
                <w:outline w:val="false"/>
                <w:shadow w:val="false"/>
                <w:color w:val="000000"/>
                <w:sz w:val="18"/>
                <w:szCs w:val="18"/>
                <w:u w:val="none"/>
                <w:lang w:val="pt-BR"/>
              </w:rPr>
              <w:t>-0.04 to -0.02</w:t>
            </w:r>
          </w:p>
        </w:tc>
        <w:tc>
          <w:tcPr>
            <w:tcW w:w="74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8"/>
                <w:szCs w:val="18"/>
                <w:u w:val="none"/>
                <w:lang w:val="pt-BR"/>
              </w:rPr>
            </w:pPr>
            <w:bookmarkStart w:id="48" w:name="estratégia-de-modelagem"/>
            <w:r>
              <w:rPr>
                <w:b w:val="false"/>
                <w:bCs w:val="false"/>
                <w:i w:val="false"/>
                <w:iCs w:val="false"/>
                <w:strike w:val="false"/>
                <w:dstrike w:val="false"/>
                <w:outline w:val="false"/>
                <w:shadow w:val="false"/>
                <w:color w:val="000000"/>
                <w:sz w:val="18"/>
                <w:szCs w:val="18"/>
                <w:u w:val="none"/>
                <w:lang w:val="pt-BR"/>
              </w:rPr>
              <w:t>&lt;0.001</w:t>
            </w:r>
            <w:bookmarkEnd w:id="48"/>
          </w:p>
        </w:tc>
      </w:tr>
    </w:tbl>
    <w:p>
      <w:pPr>
        <w:pStyle w:val="Heading2"/>
        <w:rPr>
          <w:lang w:val="pt-BR"/>
        </w:rPr>
      </w:pPr>
      <w:bookmarkStart w:id="49" w:name="__RefHeading___Toc9695_1880389447"/>
      <w:bookmarkEnd w:id="49"/>
      <w:r>
        <w:rPr>
          <w:lang w:val="pt-BR"/>
        </w:rPr>
        <w:t>Disponibilidade</w:t>
      </w:r>
    </w:p>
    <w:p>
      <w:pPr>
        <w:pStyle w:val="FirstParagraph"/>
        <w:rPr>
          <w:lang w:val="pt-BR"/>
        </w:rPr>
      </w:pPr>
      <w:r>
        <w:rPr>
          <w:lang w:val="pt-BR"/>
        </w:rPr>
        <w:t>Todos os documentos gerados nessa consultoria foram incluídos no portfólio do consultor.</w:t>
      </w:r>
    </w:p>
    <w:p>
      <w:pPr>
        <w:pStyle w:val="TextBody"/>
        <w:rPr>
          <w:lang w:val="pt-BR"/>
        </w:rPr>
      </w:pPr>
      <w:r>
        <w:rPr>
          <w:lang w:val="pt-BR"/>
        </w:rPr>
        <w:t>O portfólio pode ser visto em:</w:t>
      </w:r>
    </w:p>
    <w:p>
      <w:pPr>
        <w:pStyle w:val="TextBody"/>
        <w:rPr/>
      </w:pPr>
      <w:hyperlink r:id="rId8">
        <w:r>
          <w:rPr>
            <w:rStyle w:val="InternetLink"/>
            <w:lang w:val="pt-BR"/>
          </w:rPr>
          <w:t>https://philsf-biostat.github.io/SAR-2022-016-JB/</w:t>
        </w:r>
      </w:hyperlink>
    </w:p>
    <w:p>
      <w:pPr>
        <w:pStyle w:val="Heading2"/>
        <w:rPr>
          <w:lang w:val="pt-BR"/>
        </w:rPr>
      </w:pPr>
      <w:bookmarkStart w:id="50" w:name="__RefHeading___Toc9697_1880389447"/>
      <w:bookmarkEnd w:id="50"/>
      <w:r>
        <w:rPr>
          <w:lang w:val="pt-BR"/>
        </w:rPr>
        <w:t>Dados utilizados</w:t>
      </w:r>
    </w:p>
    <w:p>
      <w:pPr>
        <w:pStyle w:val="FirstParagraph"/>
        <w:rPr>
          <w:lang w:val="pt-BR"/>
        </w:rPr>
      </w:pPr>
      <w:r>
        <w:rPr>
          <w:lang w:val="pt-BR"/>
        </w:rPr>
        <w:t>A tabela A2 mostra a estrutura da tabela de dados analíticos.</w:t>
      </w:r>
    </w:p>
    <w:p>
      <w:pPr>
        <w:pStyle w:val="TableCaption"/>
        <w:rPr>
          <w:lang w:val="pt-BR"/>
        </w:rPr>
      </w:pPr>
      <w:r>
        <w:rPr>
          <w:b/>
          <w:bCs/>
          <w:lang w:val="pt-BR"/>
        </w:rPr>
        <w:t>Tabela A2</w:t>
      </w:r>
      <w:r>
        <w:rPr>
          <w:lang w:val="pt-BR"/>
        </w:rPr>
        <w:t xml:space="preserve"> Estrutura da tabela de dados analíticos</w:t>
      </w:r>
    </w:p>
    <w:tbl>
      <w:tblPr>
        <w:tblStyle w:val="Table"/>
        <w:tblW w:w="7917"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131"/>
        <w:gridCol w:w="1130"/>
        <w:gridCol w:w="1132"/>
        <w:gridCol w:w="1130"/>
        <w:gridCol w:w="1132"/>
        <w:gridCol w:w="1130"/>
        <w:gridCol w:w="1131"/>
      </w:tblGrid>
      <w:tr>
        <w:trPr/>
        <w:tc>
          <w:tcPr>
            <w:tcW w:w="113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lang w:val="pt-BR"/>
              </w:rPr>
            </w:pPr>
            <w:r>
              <w:rPr>
                <w:rFonts w:ascii="Ubuntu Mono" w:hAnsi="Ubuntu Mono"/>
                <w:b/>
                <w:bCs/>
                <w:i w:val="false"/>
                <w:iCs w:val="false"/>
                <w:strike w:val="false"/>
                <w:dstrike w:val="false"/>
                <w:outline w:val="false"/>
                <w:shadow w:val="false"/>
                <w:color w:val="000000"/>
                <w:sz w:val="16"/>
                <w:szCs w:val="16"/>
                <w:u w:val="none"/>
                <w:lang w:val="pt-BR"/>
              </w:rPr>
              <w:t>ap_resid</w:t>
            </w:r>
          </w:p>
        </w:tc>
        <w:tc>
          <w:tcPr>
            <w:tcW w:w="11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lang w:val="pt-BR"/>
              </w:rPr>
            </w:pPr>
            <w:r>
              <w:rPr>
                <w:rFonts w:ascii="Ubuntu Mono" w:hAnsi="Ubuntu Mono"/>
                <w:b/>
                <w:bCs/>
                <w:i w:val="false"/>
                <w:iCs w:val="false"/>
                <w:strike w:val="false"/>
                <w:dstrike w:val="false"/>
                <w:outline w:val="false"/>
                <w:shadow w:val="false"/>
                <w:color w:val="000000"/>
                <w:sz w:val="16"/>
                <w:szCs w:val="16"/>
                <w:u w:val="none"/>
                <w:lang w:val="pt-BR"/>
              </w:rPr>
              <w:t>total</w:t>
            </w:r>
          </w:p>
        </w:tc>
        <w:tc>
          <w:tcPr>
            <w:tcW w:w="113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lang w:val="pt-BR"/>
              </w:rPr>
            </w:pPr>
            <w:r>
              <w:rPr>
                <w:rFonts w:ascii="Ubuntu Mono" w:hAnsi="Ubuntu Mono"/>
                <w:b/>
                <w:bCs/>
                <w:i w:val="false"/>
                <w:iCs w:val="false"/>
                <w:strike w:val="false"/>
                <w:dstrike w:val="false"/>
                <w:outline w:val="false"/>
                <w:shadow w:val="false"/>
                <w:color w:val="000000"/>
                <w:sz w:val="16"/>
                <w:szCs w:val="16"/>
                <w:u w:val="none"/>
                <w:lang w:val="pt-BR"/>
              </w:rPr>
              <w:t>mes</w:t>
            </w:r>
          </w:p>
        </w:tc>
        <w:tc>
          <w:tcPr>
            <w:tcW w:w="11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lang w:val="pt-BR"/>
              </w:rPr>
            </w:pPr>
            <w:r>
              <w:rPr>
                <w:rFonts w:ascii="Ubuntu Mono" w:hAnsi="Ubuntu Mono"/>
                <w:b/>
                <w:bCs/>
                <w:i w:val="false"/>
                <w:iCs w:val="false"/>
                <w:strike w:val="false"/>
                <w:dstrike w:val="false"/>
                <w:outline w:val="false"/>
                <w:shadow w:val="false"/>
                <w:color w:val="000000"/>
                <w:sz w:val="16"/>
                <w:szCs w:val="16"/>
                <w:u w:val="none"/>
                <w:lang w:val="pt-BR"/>
              </w:rPr>
              <w:t>fe</w:t>
            </w:r>
          </w:p>
        </w:tc>
        <w:tc>
          <w:tcPr>
            <w:tcW w:w="113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lang w:val="pt-BR"/>
              </w:rPr>
            </w:pPr>
            <w:r>
              <w:rPr>
                <w:rFonts w:ascii="Ubuntu Mono" w:hAnsi="Ubuntu Mono"/>
                <w:b/>
                <w:bCs/>
                <w:i w:val="false"/>
                <w:iCs w:val="false"/>
                <w:strike w:val="false"/>
                <w:dstrike w:val="false"/>
                <w:outline w:val="false"/>
                <w:shadow w:val="false"/>
                <w:color w:val="000000"/>
                <w:sz w:val="16"/>
                <w:szCs w:val="16"/>
                <w:u w:val="none"/>
                <w:lang w:val="pt-BR"/>
              </w:rPr>
              <w:t>internacoes</w:t>
            </w:r>
          </w:p>
        </w:tc>
        <w:tc>
          <w:tcPr>
            <w:tcW w:w="11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lang w:val="pt-BR"/>
              </w:rPr>
            </w:pPr>
            <w:r>
              <w:rPr>
                <w:rFonts w:ascii="Ubuntu Mono" w:hAnsi="Ubuntu Mono"/>
                <w:b/>
                <w:bCs/>
                <w:i w:val="false"/>
                <w:iCs w:val="false"/>
                <w:strike w:val="false"/>
                <w:dstrike w:val="false"/>
                <w:outline w:val="false"/>
                <w:shadow w:val="false"/>
                <w:color w:val="000000"/>
                <w:sz w:val="16"/>
                <w:szCs w:val="16"/>
                <w:u w:val="none"/>
                <w:lang w:val="pt-BR"/>
              </w:rPr>
              <w:t>dose</w:t>
            </w:r>
          </w:p>
        </w:tc>
        <w:tc>
          <w:tcPr>
            <w:tcW w:w="1131"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lang w:val="pt-BR"/>
              </w:rPr>
            </w:pPr>
            <w:r>
              <w:rPr>
                <w:rFonts w:ascii="Ubuntu Mono" w:hAnsi="Ubuntu Mono"/>
                <w:b/>
                <w:bCs/>
                <w:i w:val="false"/>
                <w:iCs w:val="false"/>
                <w:strike w:val="false"/>
                <w:dstrike w:val="false"/>
                <w:outline w:val="false"/>
                <w:shadow w:val="false"/>
                <w:color w:val="000000"/>
                <w:sz w:val="16"/>
                <w:szCs w:val="16"/>
                <w:u w:val="none"/>
                <w:lang w:val="pt-BR"/>
              </w:rPr>
              <w:t>vacinacao</w:t>
            </w:r>
          </w:p>
        </w:tc>
      </w:tr>
      <w:tr>
        <w:trPr/>
        <w:tc>
          <w:tcPr>
            <w:tcW w:w="113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1</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2</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3</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870</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bl>
    <w:p>
      <w:pPr>
        <w:pStyle w:val="TextBody"/>
        <w:spacing w:before="180" w:after="180"/>
        <w:rPr>
          <w:lang w:val="pt-BR"/>
        </w:rPr>
      </w:pPr>
      <w:bookmarkStart w:id="51" w:name="dados-utilizados"/>
      <w:bookmarkStart w:id="52" w:name="apêndice"/>
      <w:r>
        <w:rPr>
          <w:lang w:val="pt-BR"/>
        </w:rPr>
        <w:t>Os dados utilizados neste relatório não podem ser publicados online por questões de sigilo.</w:t>
      </w:r>
      <w:bookmarkEnd w:id="51"/>
      <w:bookmarkEnd w:id="52"/>
    </w:p>
    <w:sectPr>
      <w:headerReference w:type="default" r:id="rId9"/>
      <w:footerReference w:type="default" r:id="rId10"/>
      <w:type w:val="nextPage"/>
      <w:pgSz w:w="11906" w:h="16838"/>
      <w:pgMar w:left="1134" w:right="1134" w:gutter="0" w:header="567" w:top="1758" w:footer="567" w:bottom="175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auto"/>
    <w:pitch w:val="default"/>
  </w:font>
  <w:font w:name="Ubuntu">
    <w:charset w:val="01"/>
    <w:family w:val="auto"/>
    <w:pitch w:val="default"/>
  </w:font>
  <w:font w:name="Consolas">
    <w:charset w:val="01"/>
    <w:family w:val="auto"/>
    <w:pitch w:val="default"/>
  </w:font>
  <w:font w:name="Liberation Sans">
    <w:altName w:val="Arial"/>
    <w:charset w:val="01"/>
    <w:family w:val="auto"/>
    <w:pitch w:val="default"/>
  </w:font>
  <w:font w:name="Ubuntu Mono">
    <w:charset w:val="01"/>
    <w:family w:val="auto"/>
    <w:pitch w:val="default"/>
  </w:font>
  <w:font w:name="Arial">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Rodap"/>
      <w:rPr>
        <w:lang w:val="pt-BR" w:eastAsia="en-US" w:bidi="ar-SA"/>
      </w:rPr>
    </w:pPr>
    <w:r>
      <w:rPr>
        <w:lang w:val="pt-BR" w:eastAsia="en-US" w:bidi="ar-SA"/>
      </w:rPr>
    </w:r>
  </w:p>
  <w:p>
    <w:pPr>
      <w:pStyle w:val="Normal"/>
      <w:rPr>
        <w:lang w:val="pt-BR" w:eastAsia="en-US" w:bidi="ar-SA"/>
      </w:rPr>
    </w:pPr>
    <w:r>
      <w:rPr/>
      <mc:AlternateContent>
        <mc:Choice Requires="wps">
          <w:drawing>
            <wp:inline distT="0" distB="0" distL="0" distR="0">
              <wp:extent cx="6136005" cy="34925"/>
              <wp:effectExtent l="0" t="0" r="0" b="0"/>
              <wp:docPr id="11" name="Shape5"/>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5"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tbl>
    <w:tblPr>
      <w:tblW w:w="9621" w:type="dxa"/>
      <w:jc w:val="center"/>
      <w:tblInd w:w="0" w:type="dxa"/>
      <w:tblLayout w:type="fixed"/>
      <w:tblCellMar>
        <w:top w:w="55" w:type="dxa"/>
        <w:left w:w="55" w:type="dxa"/>
        <w:bottom w:w="55" w:type="dxa"/>
        <w:right w:w="55" w:type="dxa"/>
      </w:tblCellMar>
    </w:tblPr>
    <w:tblGrid>
      <w:gridCol w:w="4540"/>
      <w:gridCol w:w="198"/>
      <w:gridCol w:w="1633"/>
      <w:gridCol w:w="194"/>
      <w:gridCol w:w="974"/>
      <w:gridCol w:w="202"/>
      <w:gridCol w:w="637"/>
      <w:gridCol w:w="183"/>
      <w:gridCol w:w="1059"/>
    </w:tblGrid>
    <w:tr>
      <w:trPr/>
      <w:tc>
        <w:tcPr>
          <w:tcW w:w="4540" w:type="dxa"/>
          <w:tcBorders/>
          <w:vAlign w:val="center"/>
        </w:tcPr>
        <w:p>
          <w:pPr>
            <w:pStyle w:val="CabealhoeRodap"/>
            <w:widowControl w:val="false"/>
            <w:spacing w:before="57" w:after="85"/>
            <w:ind w:left="0" w:right="0" w:hanging="0"/>
            <w:jc w:val="center"/>
            <w:rPr>
              <w:rFonts w:eastAsia="Cambria" w:cs=""/>
              <w:b/>
              <w:b/>
              <w:bCs/>
              <w:color w:val="auto"/>
              <w:kern w:val="0"/>
              <w:sz w:val="18"/>
              <w:szCs w:val="18"/>
              <w:lang w:val="pt-BR" w:eastAsia="en-US" w:bidi="ar-SA"/>
            </w:rPr>
          </w:pPr>
          <w:r>
            <w:rPr>
              <w:rFonts w:eastAsia="Cambria" w:cs="" w:cstheme="minorBidi" w:eastAsiaTheme="minorHAnsi"/>
              <w:b/>
              <w:bCs/>
              <w:color w:val="auto"/>
              <w:kern w:val="0"/>
              <w:sz w:val="18"/>
              <w:szCs w:val="18"/>
              <w:lang w:val="pt-BR" w:eastAsia="en-US" w:bidi="ar-SA"/>
            </w:rPr>
            <w:t>FF Consultoria em Bioestatística e Epidemiologia</w:t>
          </w:r>
        </w:p>
        <w:p>
          <w:pPr>
            <w:pStyle w:val="CabealhoeRodap"/>
            <w:widowControl w:val="false"/>
            <w:spacing w:before="57" w:after="85"/>
            <w:ind w:left="0" w:right="0" w:hanging="0"/>
            <w:jc w:val="center"/>
            <w:rPr>
              <w:rFonts w:eastAsia="Cambria" w:cs=""/>
              <w:color w:val="auto"/>
              <w:kern w:val="0"/>
              <w:sz w:val="20"/>
              <w:szCs w:val="24"/>
              <w:lang w:val="pt-BR" w:eastAsia="en-US" w:bidi="ar-SA"/>
            </w:rPr>
          </w:pPr>
          <w:r>
            <w:rPr>
              <w:rFonts w:eastAsia="Cambria" w:cs="" w:cstheme="minorBidi" w:eastAsiaTheme="minorHAnsi"/>
              <w:b w:val="false"/>
              <w:bCs w:val="false"/>
              <w:color w:val="auto"/>
              <w:kern w:val="0"/>
              <w:sz w:val="20"/>
              <w:szCs w:val="24"/>
              <w:lang w:val="pt-BR" w:eastAsia="en-US" w:bidi="ar-SA"/>
            </w:rPr>
            <w:t>CNPJ: 42.154.074/0001-22</w:t>
          </w:r>
        </w:p>
        <w:p>
          <w:pPr>
            <w:pStyle w:val="Textoprformatado"/>
            <w:widowControl w:val="false"/>
            <w:jc w:val="center"/>
            <w:rPr/>
          </w:pPr>
          <w:hyperlink r:id="rId1">
            <w:r>
              <w:rPr>
                <w:rStyle w:val="LinkdaInternet"/>
                <w:color w:val="345A8A"/>
                <w:lang w:val="pt-BR" w:eastAsia="en-US" w:bidi="ar-SA"/>
              </w:rPr>
              <w:t>https://philsf-biostat.github.io/</w:t>
            </w:r>
          </w:hyperlink>
        </w:p>
      </w:tc>
      <w:tc>
        <w:tcPr>
          <w:tcW w:w="198" w:type="dxa"/>
          <w:tcBorders/>
          <w:vAlign w:val="center"/>
        </w:tcPr>
        <w:p>
          <w:pPr>
            <w:pStyle w:val="CabealhoeRodap"/>
            <w:widowControl w:val="false"/>
            <w:jc w:val="center"/>
            <w:rPr>
              <w:lang w:val="pt-BR" w:eastAsia="en-US" w:bidi="ar-SA"/>
            </w:rPr>
          </w:pPr>
          <w:r>
            <w:rPr>
              <w:lang w:val="pt-BR" w:eastAsia="en-US" w:bidi="ar-SA"/>
            </w:rPr>
          </w:r>
        </w:p>
      </w:tc>
      <w:tc>
        <w:tcPr>
          <w:tcW w:w="1633" w:type="dxa"/>
          <w:tcBorders/>
          <w:vAlign w:val="center"/>
        </w:tcPr>
        <w:p>
          <w:pPr>
            <w:pStyle w:val="Textoprformatado"/>
            <w:widowControl w:val="false"/>
            <w:jc w:val="center"/>
            <w:rPr>
              <w:b/>
              <w:b/>
              <w:bCs/>
              <w:lang w:val="pt-BR" w:eastAsia="en-US" w:bidi="ar-SA"/>
            </w:rPr>
          </w:pPr>
          <w:r>
            <w:rPr>
              <w:b/>
              <w:bCs/>
              <w:lang w:val="pt-BR" w:eastAsia="en-US" w:bidi="ar-SA"/>
            </w:rPr>
            <w:t>SA</w:t>
          </w:r>
          <w:r>
            <w:rPr>
              <w:rFonts w:eastAsia="Liberation Mono" w:cs="Liberation Mono"/>
              <w:b/>
              <w:bCs/>
              <w:color w:val="auto"/>
              <w:kern w:val="0"/>
              <w:sz w:val="24"/>
              <w:szCs w:val="20"/>
              <w:lang w:val="pt-BR" w:eastAsia="en-US" w:bidi="ar-SA"/>
            </w:rPr>
            <w:t>R</w:t>
          </w:r>
        </w:p>
      </w:tc>
      <w:tc>
        <w:tcPr>
          <w:tcW w:w="194" w:type="dxa"/>
          <w:tcBorders/>
          <w:vAlign w:val="center"/>
        </w:tcPr>
        <w:p>
          <w:pPr>
            <w:pStyle w:val="CabealhoeRodap"/>
            <w:widowControl w:val="false"/>
            <w:jc w:val="center"/>
            <w:rPr>
              <w:rFonts w:ascii="Arial" w:hAnsi="Arial" w:eastAsia="Cambria" w:cs="" w:cstheme="minorBidi" w:eastAsiaTheme="minorHAnsi"/>
              <w:b/>
              <w:b/>
              <w:bCs/>
              <w:color w:val="auto"/>
              <w:kern w:val="0"/>
              <w:sz w:val="20"/>
              <w:szCs w:val="24"/>
              <w:lang w:val="pt-BR" w:eastAsia="en-US" w:bidi="ar-SA"/>
            </w:rPr>
          </w:pPr>
          <w:r>
            <w:rPr>
              <w:rFonts w:eastAsia="Cambria" w:cs="" w:cstheme="minorBidi" w:eastAsiaTheme="minorHAnsi" w:ascii="Arial" w:hAnsi="Arial"/>
              <w:b/>
              <w:bCs/>
              <w:color w:val="auto"/>
              <w:kern w:val="0"/>
              <w:sz w:val="20"/>
              <w:szCs w:val="24"/>
              <w:lang w:val="pt-BR" w:eastAsia="en-US" w:bidi="ar-SA"/>
            </w:rPr>
          </w:r>
        </w:p>
      </w:tc>
      <w:tc>
        <w:tcPr>
          <w:tcW w:w="974"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Versão</w:t>
          </w:r>
        </w:p>
        <w:p>
          <w:pPr>
            <w:pStyle w:val="CabealhoeRodap"/>
            <w:widowControl w:val="false"/>
            <w:jc w:val="center"/>
            <w:rPr>
              <w:rFonts w:ascii="Arial" w:hAnsi="Arial" w:eastAsia="Cambria" w:cs="" w:cstheme="minorBidi" w:eastAsiaTheme="minorHAnsi"/>
              <w:b w:val="false"/>
              <w:b w:val="false"/>
              <w:bCs w:val="false"/>
              <w:color w:val="auto"/>
              <w:kern w:val="0"/>
              <w:sz w:val="20"/>
              <w:szCs w:val="24"/>
              <w:lang w:val="pt-BR" w:eastAsia="en-US" w:bidi="ar-SA"/>
            </w:rPr>
          </w:pPr>
          <w:r>
            <w:rPr>
              <w:rFonts w:eastAsia="Cambria" w:cs="" w:cstheme="minorBidi" w:eastAsiaTheme="minorHAnsi" w:ascii="Arial" w:hAnsi="Arial"/>
              <w:b w:val="false"/>
              <w:bCs w:val="false"/>
              <w:color w:val="auto"/>
              <w:kern w:val="0"/>
              <w:sz w:val="20"/>
              <w:szCs w:val="24"/>
              <w:lang w:val="pt-BR" w:eastAsia="en-US" w:bidi="ar-SA"/>
            </w:rPr>
          </w:r>
        </w:p>
        <w:p>
          <w:pPr>
            <w:pStyle w:val="Textoprformatado"/>
            <w:widowControl w:val="false"/>
            <w:jc w:val="center"/>
            <w:rPr>
              <w:lang w:val="pt-BR" w:eastAsia="en-US" w:bidi="ar-SA"/>
            </w:rPr>
          </w:pPr>
          <w:r>
            <w:rPr>
              <w:lang w:val="pt-BR" w:eastAsia="en-US" w:bidi="ar-SA"/>
            </w:rPr>
            <w:t>2</w:t>
          </w:r>
        </w:p>
      </w:tc>
      <w:tc>
        <w:tcPr>
          <w:tcW w:w="202" w:type="dxa"/>
          <w:tcBorders/>
          <w:vAlign w:val="center"/>
        </w:tcPr>
        <w:p>
          <w:pPr>
            <w:pStyle w:val="CabealhoeRodap"/>
            <w:widowControl w:val="false"/>
            <w:jc w:val="center"/>
            <w:rPr>
              <w:lang w:val="pt-BR" w:eastAsia="en-US" w:bidi="ar-SA"/>
            </w:rPr>
          </w:pPr>
          <w:r>
            <w:rPr>
              <w:lang w:val="pt-BR" w:eastAsia="en-US" w:bidi="ar-SA"/>
            </w:rPr>
          </w:r>
        </w:p>
      </w:tc>
      <w:tc>
        <w:tcPr>
          <w:tcW w:w="637"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Ano</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fldChar w:fldCharType="begin"/>
          </w:r>
          <w:r>
            <w:rPr/>
            <w:instrText xml:space="preserve"> DATE \@"yyyy" </w:instrText>
          </w:r>
          <w:r>
            <w:rPr/>
            <w:fldChar w:fldCharType="separate"/>
          </w:r>
          <w:r>
            <w:rPr/>
            <w:t>2022</w:t>
          </w:r>
          <w:r>
            <w:rPr/>
            <w:fldChar w:fldCharType="end"/>
          </w:r>
        </w:p>
      </w:tc>
      <w:tc>
        <w:tcPr>
          <w:tcW w:w="183" w:type="dxa"/>
          <w:tcBorders/>
          <w:vAlign w:val="center"/>
        </w:tcPr>
        <w:p>
          <w:pPr>
            <w:pStyle w:val="CabealhoeRodap"/>
            <w:widowControl w:val="false"/>
            <w:jc w:val="center"/>
            <w:rPr>
              <w:b/>
              <w:b/>
              <w:bCs/>
              <w:lang w:val="pt-BR" w:eastAsia="en-US" w:bidi="ar-SA"/>
            </w:rPr>
          </w:pPr>
          <w:r>
            <w:rPr>
              <w:b/>
              <w:bCs/>
              <w:lang w:val="pt-BR" w:eastAsia="en-US" w:bidi="ar-SA"/>
            </w:rPr>
          </w:r>
        </w:p>
      </w:tc>
      <w:tc>
        <w:tcPr>
          <w:tcW w:w="1059"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Página</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lang w:val="pt-BR" w:eastAsia="en-US" w:bidi="ar-SA"/>
            </w:rPr>
            <w:fldChar w:fldCharType="begin"/>
          </w:r>
          <w:r>
            <w:rPr>
              <w:lang w:val="pt-BR" w:eastAsia="en-US" w:bidi="ar-SA"/>
            </w:rPr>
            <w:instrText xml:space="preserve"> PAGE </w:instrText>
          </w:r>
          <w:r>
            <w:rPr>
              <w:lang w:val="pt-BR" w:eastAsia="en-US" w:bidi="ar-SA"/>
            </w:rPr>
            <w:fldChar w:fldCharType="separate"/>
          </w:r>
          <w:r>
            <w:rPr>
              <w:lang w:val="pt-BR" w:eastAsia="en-US" w:bidi="ar-SA"/>
            </w:rPr>
            <w:t>13</w:t>
          </w:r>
          <w:r>
            <w:rPr>
              <w:lang w:val="pt-BR" w:eastAsia="en-US" w:bidi="ar-SA"/>
            </w:rPr>
            <w:fldChar w:fldCharType="end"/>
          </w:r>
          <w:r>
            <w:rPr>
              <w:lang w:val="pt-BR" w:eastAsia="en-US" w:bidi="ar-SA"/>
            </w:rPr>
            <w:t xml:space="preserve"> </w:t>
          </w:r>
          <w:r>
            <w:rPr>
              <w:lang w:val="pt-BR" w:eastAsia="en-US" w:bidi="ar-SA"/>
            </w:rPr>
            <w:t xml:space="preserve">/ </w:t>
          </w:r>
          <w:r>
            <w:rPr>
              <w:lang w:val="pt-BR" w:eastAsia="en-US" w:bidi="ar-SA"/>
            </w:rPr>
            <w:fldChar w:fldCharType="begin"/>
          </w:r>
          <w:r>
            <w:rPr>
              <w:lang w:val="pt-BR" w:eastAsia="en-US" w:bidi="ar-SA"/>
            </w:rPr>
            <w:instrText xml:space="preserve"> NUMPAGES </w:instrText>
          </w:r>
          <w:r>
            <w:rPr>
              <w:lang w:val="pt-BR" w:eastAsia="en-US" w:bidi="ar-SA"/>
            </w:rPr>
            <w:fldChar w:fldCharType="separate"/>
          </w:r>
          <w:r>
            <w:rPr>
              <w:lang w:val="pt-BR" w:eastAsia="en-US" w:bidi="ar-SA"/>
            </w:rPr>
            <w:t>13</w:t>
          </w:r>
          <w:r>
            <w:rPr>
              <w:lang w:val="pt-BR" w:eastAsia="en-US" w:bidi="ar-SA"/>
            </w:rPr>
            <w:fldChar w:fldCharType="end"/>
          </w:r>
        </w:p>
      </w:tc>
    </w:tr>
  </w:tbl>
  <w:p>
    <w:pPr>
      <w:pStyle w:val="Normal"/>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8" w:type="dxa"/>
      <w:jc w:val="center"/>
      <w:tblInd w:w="0" w:type="dxa"/>
      <w:tblLayout w:type="fixed"/>
      <w:tblCellMar>
        <w:top w:w="0" w:type="dxa"/>
        <w:left w:w="0" w:type="dxa"/>
        <w:bottom w:w="0" w:type="dxa"/>
        <w:right w:w="0" w:type="dxa"/>
      </w:tblCellMar>
    </w:tblPr>
    <w:tblGrid>
      <w:gridCol w:w="9638"/>
    </w:tblGrid>
    <w:tr>
      <w:trPr/>
      <w:tc>
        <w:tcPr>
          <w:tcW w:w="9638" w:type="dxa"/>
          <w:tcBorders/>
          <w:vAlign w:val="center"/>
        </w:tcPr>
        <w:p>
          <w:pPr>
            <w:pStyle w:val="CabealhoeRodap"/>
            <w:widowControl w:val="false"/>
            <w:rPr>
              <w:rFonts w:ascii="Ubuntu" w:hAnsi="Ubuntu" w:eastAsia="Cambria" w:cs="" w:cstheme="minorBidi" w:eastAsiaTheme="minorHAnsi"/>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Consultoria em Estatística Médica e Epidemiologia Clínica</w:t>
          </w:r>
        </w:p>
      </w:tc>
    </w:tr>
    <w:tr>
      <w:trPr/>
      <w:tc>
        <w:tcPr>
          <w:tcW w:w="9638" w:type="dxa"/>
          <w:tcBorders/>
          <w:vAlign w:val="center"/>
        </w:tcPr>
        <w:p>
          <w:pPr>
            <w:pStyle w:val="CabealhoeRodap"/>
            <w:widowControl w:val="false"/>
            <w:rPr>
              <w:lang w:val="pt-BR" w:eastAsia="en-US" w:bidi="ar-SA"/>
            </w:rPr>
          </w:pPr>
          <w:r>
            <w:rPr>
              <w:lang w:val="pt-BR" w:eastAsia="en-US" w:bidi="ar-SA"/>
            </w:rPr>
          </w:r>
        </w:p>
      </w:tc>
    </w:tr>
    <w:tr>
      <w:trPr/>
      <w:tc>
        <w:tcPr>
          <w:tcW w:w="9638" w:type="dxa"/>
          <w:tcBorders/>
          <w:vAlign w:val="center"/>
        </w:tcPr>
        <w:p>
          <w:pPr>
            <w:pStyle w:val="CabealhoeRodap"/>
            <w:widowControl w:val="false"/>
            <w:rPr>
              <w:b/>
              <w:b/>
              <w:bCs/>
              <w:lang w:val="pt-BR" w:eastAsia="en-US" w:bidi="ar-SA"/>
            </w:rPr>
          </w:pPr>
          <w:r>
            <w:rPr>
              <w:rFonts w:eastAsia="Cambria" w:cs="" w:cstheme="minorBidi" w:eastAsiaTheme="minorHAnsi"/>
              <w:b/>
              <w:bCs/>
              <w:color w:val="auto"/>
              <w:kern w:val="0"/>
              <w:sz w:val="20"/>
              <w:szCs w:val="24"/>
              <w:lang w:val="pt-BR" w:eastAsia="en-US" w:bidi="ar-SA"/>
            </w:rPr>
            <w:t xml:space="preserve">Relatório de Análise Estatística </w:t>
          </w:r>
          <w:r>
            <w:rPr>
              <w:b/>
              <w:bCs/>
              <w:lang w:val="pt-BR" w:eastAsia="en-US" w:bidi="ar-SA"/>
            </w:rPr>
            <w:t>(SA</w:t>
          </w:r>
          <w:r>
            <w:rPr>
              <w:rFonts w:eastAsia="Cambria" w:cs="" w:cstheme="minorBidi" w:eastAsiaTheme="minorHAnsi"/>
              <w:b/>
              <w:bCs/>
              <w:color w:val="auto"/>
              <w:kern w:val="0"/>
              <w:sz w:val="20"/>
              <w:szCs w:val="24"/>
              <w:lang w:val="pt-BR" w:eastAsia="en-US" w:bidi="ar-SA"/>
            </w:rPr>
            <w:t>R</w:t>
          </w:r>
          <w:r>
            <w:rPr>
              <w:b/>
              <w:bCs/>
              <w:lang w:val="pt-BR" w:eastAsia="en-US" w:bidi="ar-SA"/>
            </w:rPr>
            <w:t>)</w:t>
          </w:r>
        </w:p>
      </w:tc>
    </w:tr>
  </w:tbl>
  <w:p>
    <w:pPr>
      <w:pStyle w:val="CabealhoeRodap"/>
      <w:rPr>
        <w:lang w:val="pt-BR" w:eastAsia="en-US" w:bidi="ar-SA"/>
      </w:rPr>
    </w:pPr>
    <w:r>
      <w:rPr>
        <w:lang w:val="pt-BR" w:eastAsia="en-US" w:bidi="ar-SA"/>
      </w:rPr>
    </w:r>
  </w:p>
  <w:p>
    <w:pPr>
      <w:pStyle w:val="Normal"/>
      <w:spacing w:before="0" w:after="200"/>
      <w:rPr>
        <w:lang w:val="pt-BR" w:eastAsia="en-US" w:bidi="ar-SA"/>
      </w:rPr>
    </w:pPr>
    <w:r>
      <w:rPr/>
      <w:pict>
        <v:shapetype id="_x0000_t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 o:spid="shape_0" fillcolor="silver" stroked="f" o:allowincell="f" style="position:absolute;margin-left:7.8pt;margin-top:236.5pt;width:466.35pt;height:164.15pt;mso-wrap-style:none;v-text-anchor:middle;rotation:315;mso-position-horizontal:center;mso-position-horizontal-relative:margin;mso-position-vertical:center;mso-position-vertical-relative:margin" type="_x0000_t136">
          <v:path textpathok="t"/>
          <v:textpath on="t" fitshape="t" string="DRAFT" trim="t" style="font-family:&quot;Ubuntu&quot;;font-size:1pt"/>
          <v:fill o:detectmouseclick="t" type="solid" color2="#3f3f3f" opacity="0.5"/>
          <v:stroke color="#3465a4" joinstyle="round" endcap="flat"/>
          <w10:wrap type="none"/>
        </v:shape>
      </w:pict>
      <mc:AlternateContent>
        <mc:Choice Requires="wps">
          <w:drawing>
            <wp:inline distT="0" distB="0" distL="0" distR="0">
              <wp:extent cx="6136005" cy="34925"/>
              <wp:effectExtent l="0" t="0" r="0" b="0"/>
              <wp:docPr id="10" name="Shape4"/>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4"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num w:numId="1">
    <w:abstractNumId w:val="1"/>
  </w:num>
  <w:num w:numId="2">
    <w:abstractNumId w:val="2"/>
  </w:num>
  <w:num w:numId="3">
    <w:abstractNumId w:val="3"/>
  </w:num>
  <w:num w:numId="4">
    <w:abstractNumId w:val="2"/>
  </w:num>
</w:numbering>
</file>

<file path=word/settings.xml><?xml version="1.0" encoding="utf-8"?>
<w:settings xmlns:w="http://schemas.openxmlformats.org/wordprocessingml/2006/main">
  <w:zoom w:percent="75"/>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Ubuntu" w:hAnsi="Ubuntu"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Ubuntu" w:hAnsi="Ubuntu" w:eastAsia="" w:cs="" w:cstheme="majorBidi" w:eastAsiaTheme="majorEastAsia"/>
      <w:b/>
      <w:bCs/>
      <w:caps/>
      <w:color w:val="000000"/>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Ubuntu" w:hAnsi="Ubuntu" w:eastAsia="" w:cs="" w:cstheme="majorBidi" w:eastAsiaTheme="majorEastAsia"/>
      <w:b/>
      <w:bCs/>
      <w:color w:val="000000"/>
      <w:sz w:val="28"/>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Ubuntu" w:hAnsi="Ubuntu" w:eastAsia="" w:cs="" w:cstheme="majorBidi" w:eastAsiaTheme="majorEastAsia"/>
      <w:b/>
      <w:bCs/>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Ubuntu" w:hAnsi="Ubuntu" w:eastAsia="" w:cs="" w:cstheme="majorBidi" w:eastAsiaTheme="majorEastAsia"/>
      <w:bCs/>
      <w:i/>
      <w:color w:val="000000"/>
      <w:sz w:val="24"/>
      <w:szCs w:val="24"/>
    </w:rPr>
  </w:style>
  <w:style w:type="paragraph" w:styleId="Heading5">
    <w:name w:val="Heading 5"/>
    <w:basedOn w:val="Normal"/>
    <w:next w:val="TextBody"/>
    <w:uiPriority w:val="9"/>
    <w:unhideWhenUsed/>
    <w:qFormat/>
    <w:pPr>
      <w:keepNext w:val="true"/>
      <w:keepLines/>
      <w:numPr>
        <w:ilvl w:val="4"/>
        <w:numId w:val="1"/>
      </w:numPr>
      <w:spacing w:before="200" w:after="0"/>
      <w:outlineLvl w:val="4"/>
    </w:pPr>
    <w:rPr>
      <w:rFonts w:ascii="Ubuntu" w:hAnsi="Ubuntu" w:eastAsia="" w:cs="" w:cstheme="majorBidi" w:eastAsiaTheme="majorEastAsia"/>
      <w:iCs/>
      <w:color w:val="000000"/>
      <w:sz w:val="24"/>
      <w:szCs w:val="24"/>
    </w:rPr>
  </w:style>
  <w:style w:type="paragraph" w:styleId="Heading6">
    <w:name w:val="Heading 6"/>
    <w:basedOn w:val="Normal"/>
    <w:next w:val="TextBody"/>
    <w:uiPriority w:val="9"/>
    <w:unhideWhenUsed/>
    <w:qFormat/>
    <w:pPr>
      <w:keepNext w:val="true"/>
      <w:keepLines/>
      <w:numPr>
        <w:ilvl w:val="5"/>
        <w:numId w:val="1"/>
      </w:numPr>
      <w:spacing w:before="200" w:after="0"/>
      <w:outlineLvl w:val="5"/>
    </w:pPr>
    <w:rPr>
      <w:rFonts w:ascii="Ubuntu" w:hAnsi="Ubuntu" w:eastAsia="" w:cs="" w:cstheme="majorBidi" w:eastAsiaTheme="majorEastAsia"/>
      <w:color w:val="000000"/>
      <w:sz w:val="24"/>
      <w:szCs w:val="24"/>
    </w:rPr>
  </w:style>
  <w:style w:type="paragraph" w:styleId="Heading7">
    <w:name w:val="Heading 7"/>
    <w:basedOn w:val="Normal"/>
    <w:next w:val="TextBody"/>
    <w:uiPriority w:val="9"/>
    <w:unhideWhenUsed/>
    <w:qFormat/>
    <w:pPr>
      <w:keepNext w:val="true"/>
      <w:keepLines/>
      <w:numPr>
        <w:ilvl w:val="6"/>
        <w:numId w:val="1"/>
      </w:numPr>
      <w:spacing w:before="200" w:after="0"/>
      <w:outlineLvl w:val="6"/>
    </w:pPr>
    <w:rPr>
      <w:rFonts w:ascii="Ubuntu" w:hAnsi="Ubuntu" w:eastAsia="" w:cs="" w:cstheme="majorBidi" w:eastAsiaTheme="majorEastAsia"/>
      <w:color w:val="000000"/>
      <w:sz w:val="24"/>
      <w:szCs w:val="24"/>
    </w:rPr>
  </w:style>
  <w:style w:type="paragraph" w:styleId="Heading8">
    <w:name w:val="Heading 8"/>
    <w:basedOn w:val="Normal"/>
    <w:next w:val="TextBody"/>
    <w:uiPriority w:val="9"/>
    <w:unhideWhenUsed/>
    <w:qFormat/>
    <w:pPr>
      <w:keepNext w:val="true"/>
      <w:keepLines/>
      <w:numPr>
        <w:ilvl w:val="7"/>
        <w:numId w:val="1"/>
      </w:numPr>
      <w:spacing w:before="200" w:after="0"/>
      <w:outlineLvl w:val="7"/>
    </w:pPr>
    <w:rPr>
      <w:rFonts w:ascii="Ubuntu" w:hAnsi="Ubuntu" w:eastAsia="" w:cs="" w:cstheme="majorBidi" w:eastAsiaTheme="majorEastAsia"/>
      <w:color w:val="000000"/>
      <w:sz w:val="24"/>
      <w:szCs w:val="24"/>
    </w:rPr>
  </w:style>
  <w:style w:type="paragraph" w:styleId="Heading9">
    <w:name w:val="Heading 9"/>
    <w:basedOn w:val="Normal"/>
    <w:next w:val="TextBody"/>
    <w:uiPriority w:val="9"/>
    <w:unhideWhenUsed/>
    <w:qFormat/>
    <w:pPr>
      <w:keepNext w:val="true"/>
      <w:keepLines/>
      <w:numPr>
        <w:ilvl w:val="8"/>
        <w:numId w:val="1"/>
      </w:numPr>
      <w:spacing w:before="200" w:after="0"/>
      <w:outlineLvl w:val="8"/>
    </w:pPr>
    <w:rPr>
      <w:rFonts w:ascii="Ubuntu" w:hAnsi="Ubuntu" w:eastAsia="" w:cs="" w:cstheme="majorBidi" w:eastAsiaTheme="majorEastAsia"/>
      <w:color w:val="000000"/>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Ncoradanotaderodap">
    <w:name w:val="Âncora da nota de rodapé"/>
    <w:qFormat/>
    <w:rPr>
      <w:vertAlign w:val="superscript"/>
    </w:rPr>
  </w:style>
  <w:style w:type="character" w:styleId="FootnoteCharacters">
    <w:name w:val="Footnote Characters"/>
    <w:basedOn w:val="BodyTextChar"/>
    <w:qFormat/>
    <w:rPr>
      <w:vertAlign w:val="superscript"/>
    </w:rPr>
  </w:style>
  <w:style w:type="character" w:styleId="LinkdaInternet">
    <w:name w:val="Link da Internet"/>
    <w:basedOn w:val="BodyTextChar"/>
    <w:qFormat/>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Vnculodendice">
    <w:name w:val="Vínculo de índice"/>
    <w:qFormat/>
    <w:rPr/>
  </w:style>
  <w:style w:type="character" w:styleId="Numeraodelinhas">
    <w:name w:val="Numeração de linhas"/>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Ubuntu" w:hAnsi="Ubuntu" w:eastAsia="Noto Sans CJK SC" w:cs="Lohit Devanagari"/>
      <w:sz w:val="28"/>
      <w:szCs w:val="28"/>
    </w:rPr>
  </w:style>
  <w:style w:type="paragraph" w:styleId="TextBody">
    <w:name w:val="Body Text"/>
    <w:basedOn w:val="Normal"/>
    <w:link w:val="BodyTextChar"/>
    <w:qFormat/>
    <w:pPr>
      <w:spacing w:before="180" w:after="180"/>
    </w:pPr>
    <w:rPr>
      <w:rFonts w:ascii="Ubuntu" w:hAnsi="Ubuntu"/>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Ubuntu" w:hAnsi="Ubuntu" w:cs="Lohit Devanagari"/>
      <w:lang w:val="zxx" w:eastAsia="zxx" w:bidi="zxx"/>
    </w:rPr>
  </w:style>
  <w:style w:type="paragraph" w:styleId="Ttulo">
    <w:name w:val="Título"/>
    <w:basedOn w:val="Normal"/>
    <w:next w:val="TextBody"/>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0" w:after="0"/>
    </w:pPr>
    <w:rPr>
      <w:rFonts w:ascii="Ubuntu" w:hAnsi="Ubuntu"/>
    </w:rPr>
  </w:style>
  <w:style w:type="paragraph" w:styleId="Title">
    <w:name w:val="Title"/>
    <w:basedOn w:val="Normal"/>
    <w:next w:val="TextBody"/>
    <w:qFormat/>
    <w:pPr>
      <w:keepNext w:val="true"/>
      <w:keepLines/>
      <w:spacing w:before="480" w:after="240"/>
      <w:jc w:val="center"/>
    </w:pPr>
    <w:rPr>
      <w:rFonts w:ascii="Ubuntu" w:hAnsi="Ubuntu" w:eastAsia="" w:cs="" w:cstheme="majorBidi" w:eastAsiaTheme="majorEastAsia"/>
      <w:b/>
      <w:bCs/>
      <w:color w:val="000000" w:themeShade="b5"/>
      <w:sz w:val="32"/>
      <w:szCs w:val="36"/>
    </w:rPr>
  </w:style>
  <w:style w:type="paragraph" w:styleId="Subtitle">
    <w:name w:val="Subtitle"/>
    <w:basedOn w:val="Title"/>
    <w:next w:val="TextBody"/>
    <w:qFormat/>
    <w:pPr>
      <w:keepNext w:val="true"/>
      <w:keepLines/>
      <w:spacing w:before="240" w:after="240"/>
      <w:jc w:val="center"/>
    </w:pPr>
    <w:rPr>
      <w:rFonts w:ascii="Ubuntu" w:hAnsi="Ubuntu"/>
      <w:color w:val="000000"/>
      <w:sz w:val="2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IndexHeading">
    <w:name w:val="Index Heading"/>
    <w:basedOn w:val="Ttulo"/>
    <w:pPr>
      <w:suppressLineNumbers/>
      <w:ind w:left="0" w:hanging="0"/>
      <w:jc w:val="center"/>
    </w:pPr>
    <w:rPr>
      <w:rFonts w:ascii="Ubuntu" w:hAnsi="Ubuntu"/>
      <w:b/>
      <w:bCs/>
      <w:caps/>
      <w:sz w:val="32"/>
      <w:szCs w:val="32"/>
    </w:rPr>
  </w:style>
  <w:style w:type="paragraph" w:styleId="ContentsHeading">
    <w:name w:val="TOC Heading"/>
    <w:basedOn w:val="Heading1"/>
    <w:next w:val="TextBody"/>
    <w:uiPriority w:val="39"/>
    <w:unhideWhenUsed/>
    <w:qFormat/>
    <w:pPr>
      <w:numPr>
        <w:ilvl w:val="0"/>
        <w:numId w:val="0"/>
      </w:numPr>
      <w:spacing w:lineRule="auto" w:line="259" w:before="240" w:after="0"/>
      <w:jc w:val="center"/>
      <w:outlineLvl w:val="9"/>
    </w:pPr>
    <w:rPr>
      <w:rFonts w:ascii="Ubuntu" w:hAnsi="Ubuntu" w:eastAsia="" w:cs="" w:cstheme="majorBidi" w:eastAsiaTheme="majorEastAsia"/>
      <w:b/>
      <w:bCs w:val="false"/>
      <w:color w:val="000000" w:themeShade="bf"/>
      <w:sz w:val="32"/>
    </w:rPr>
  </w:style>
  <w:style w:type="paragraph" w:styleId="SourceCode" w:customStyle="1">
    <w:name w:val="Source Code"/>
    <w:basedOn w:val="Normal"/>
    <w:link w:val="VerbatimChar"/>
    <w:qFormat/>
    <w:pPr>
      <w:shd w:val="clear" w:fill="F8F8F8"/>
    </w:pPr>
    <w:rPr>
      <w:rFonts w:ascii="Ubuntu Mono" w:hAnsi="Ubuntu Mono"/>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Ndice"/>
    <w:pPr>
      <w:tabs>
        <w:tab w:val="clear" w:pos="720"/>
        <w:tab w:val="right" w:pos="9360" w:leader="dot"/>
      </w:tabs>
      <w:spacing w:before="0" w:after="57"/>
      <w:ind w:left="0" w:hanging="0"/>
    </w:pPr>
    <w:rPr>
      <w:rFonts w:ascii="Ubuntu" w:hAnsi="Ubuntu"/>
      <w:caps/>
      <w:sz w:val="18"/>
    </w:rPr>
  </w:style>
  <w:style w:type="paragraph" w:styleId="Contents2">
    <w:name w:val="TOC 2"/>
    <w:basedOn w:val="Ndice"/>
    <w:pPr>
      <w:tabs>
        <w:tab w:val="clear" w:pos="720"/>
        <w:tab w:val="right" w:pos="9077" w:leader="dot"/>
      </w:tabs>
      <w:spacing w:before="0" w:after="57"/>
      <w:ind w:left="283" w:hanging="0"/>
    </w:pPr>
    <w:rPr>
      <w:rFonts w:ascii="Ubuntu" w:hAnsi="Ubuntu"/>
      <w:sz w:val="18"/>
    </w:rPr>
  </w:style>
  <w:style w:type="paragraph" w:styleId="Contents3">
    <w:name w:val="TOC 3"/>
    <w:basedOn w:val="Ndice"/>
    <w:pPr>
      <w:tabs>
        <w:tab w:val="clear" w:pos="720"/>
        <w:tab w:val="right" w:pos="8794" w:leader="dot"/>
      </w:tabs>
      <w:spacing w:before="0" w:after="57"/>
      <w:ind w:left="566" w:hanging="0"/>
    </w:pPr>
    <w:rPr>
      <w:rFonts w:ascii="Ubuntu" w:hAnsi="Ubuntu"/>
      <w:sz w:val="18"/>
    </w:rPr>
  </w:style>
  <w:style w:type="paragraph" w:styleId="CabealhoeRodap">
    <w:name w:val="Cabeçalho e Rodapé"/>
    <w:basedOn w:val="Normal"/>
    <w:qFormat/>
    <w:pPr>
      <w:suppressLineNumbers/>
      <w:tabs>
        <w:tab w:val="clear" w:pos="720"/>
        <w:tab w:val="center" w:pos="4680" w:leader="none"/>
        <w:tab w:val="right" w:pos="9360" w:leader="none"/>
      </w:tabs>
      <w:spacing w:lineRule="auto" w:line="276" w:before="0" w:after="0"/>
      <w:jc w:val="center"/>
    </w:pPr>
    <w:rPr>
      <w:rFonts w:ascii="Ubuntu" w:hAnsi="Ubuntu"/>
      <w:sz w:val="20"/>
    </w:rPr>
  </w:style>
  <w:style w:type="paragraph" w:styleId="HeaderandFooter">
    <w:name w:val="Header and Footer"/>
    <w:basedOn w:val="Normal"/>
    <w:qFormat/>
    <w:pPr/>
    <w:rPr/>
  </w:style>
  <w:style w:type="paragraph" w:styleId="Footer">
    <w:name w:val="Footer"/>
    <w:basedOn w:val="CabealhoeRodap"/>
    <w:pPr>
      <w:suppressLineNumbers/>
    </w:pPr>
    <w:rPr/>
  </w:style>
  <w:style w:type="paragraph" w:styleId="Contedodatabela">
    <w:name w:val="Conteúdo da tabela"/>
    <w:basedOn w:val="Normal"/>
    <w:qFormat/>
    <w:pPr>
      <w:widowControl w:val="false"/>
      <w:suppressLineNumbers/>
      <w:spacing w:before="0" w:after="0"/>
      <w:jc w:val="center"/>
    </w:pPr>
    <w:rPr>
      <w:rFonts w:ascii="Ubuntu" w:hAnsi="Ubuntu"/>
      <w:b w:val="false"/>
      <w:bCs/>
      <w:i w:val="false"/>
      <w:iCs w:val="false"/>
      <w:strike w:val="false"/>
      <w:dstrike w:val="false"/>
      <w:outline w:val="false"/>
      <w:shadow w:val="false"/>
      <w:color w:val="000000"/>
      <w:sz w:val="22"/>
      <w:szCs w:val="22"/>
      <w:u w:val="none"/>
    </w:rPr>
  </w:style>
  <w:style w:type="paragraph" w:styleId="Ttulodetabela">
    <w:name w:val="Título de tabela"/>
    <w:basedOn w:val="Contedodatabela"/>
    <w:qFormat/>
    <w:pPr>
      <w:suppressLineNumbers/>
      <w:jc w:val="center"/>
    </w:pPr>
    <w:rPr>
      <w:b/>
      <w:bCs/>
    </w:rPr>
  </w:style>
  <w:style w:type="paragraph" w:styleId="Header">
    <w:name w:val="Header"/>
    <w:basedOn w:val="CabealhoeRodap"/>
    <w:pPr>
      <w:suppressLineNumbers/>
    </w:pPr>
    <w:rPr/>
  </w:style>
  <w:style w:type="paragraph" w:styleId="Textoprformatado">
    <w:name w:val="Texto préformatado"/>
    <w:basedOn w:val="Normal"/>
    <w:qFormat/>
    <w:pPr>
      <w:spacing w:before="0" w:after="0"/>
    </w:pPr>
    <w:rPr>
      <w:rFonts w:ascii="Ubuntu Mono" w:hAnsi="Ubuntu Mono" w:eastAsia="Liberation Mono" w:cs="Liberation Mono"/>
      <w:sz w:val="24"/>
      <w:szCs w:val="20"/>
    </w:rPr>
  </w:style>
  <w:style w:type="paragraph" w:styleId="Sumrio10">
    <w:name w:val="Sumário 10"/>
    <w:basedOn w:val="Ndice"/>
    <w:qFormat/>
    <w:pPr>
      <w:tabs>
        <w:tab w:val="clear" w:pos="720"/>
        <w:tab w:val="right" w:pos="6813" w:leader="dot"/>
      </w:tabs>
      <w:ind w:left="2547" w:hanging="0"/>
    </w:pPr>
    <w:rPr>
      <w:rFonts w:ascii="Ubuntu" w:hAnsi="Ubuntu"/>
      <w:sz w:val="20"/>
    </w:rPr>
  </w:style>
  <w:style w:type="paragraph" w:styleId="Contents9">
    <w:name w:val="TOC 9"/>
    <w:basedOn w:val="Ndice"/>
    <w:pPr>
      <w:tabs>
        <w:tab w:val="clear" w:pos="720"/>
        <w:tab w:val="right" w:pos="7096" w:leader="dot"/>
      </w:tabs>
      <w:ind w:left="2264" w:hanging="0"/>
    </w:pPr>
    <w:rPr>
      <w:rFonts w:ascii="Ubuntu" w:hAnsi="Ubuntu"/>
      <w:sz w:val="20"/>
    </w:rPr>
  </w:style>
  <w:style w:type="paragraph" w:styleId="Contents8">
    <w:name w:val="TOC 8"/>
    <w:basedOn w:val="Ndice"/>
    <w:pPr>
      <w:tabs>
        <w:tab w:val="clear" w:pos="720"/>
        <w:tab w:val="right" w:pos="7379" w:leader="dot"/>
      </w:tabs>
      <w:ind w:left="1981" w:hanging="0"/>
    </w:pPr>
    <w:rPr>
      <w:rFonts w:ascii="Ubuntu" w:hAnsi="Ubuntu"/>
      <w:sz w:val="20"/>
    </w:rPr>
  </w:style>
  <w:style w:type="paragraph" w:styleId="Contents7">
    <w:name w:val="TOC 7"/>
    <w:basedOn w:val="Ndice"/>
    <w:pPr>
      <w:tabs>
        <w:tab w:val="clear" w:pos="720"/>
        <w:tab w:val="right" w:pos="7662" w:leader="dot"/>
      </w:tabs>
      <w:ind w:left="1698" w:hanging="0"/>
    </w:pPr>
    <w:rPr>
      <w:rFonts w:ascii="Ubuntu" w:hAnsi="Ubuntu"/>
      <w:sz w:val="20"/>
    </w:rPr>
  </w:style>
  <w:style w:type="paragraph" w:styleId="Contents6">
    <w:name w:val="TOC 6"/>
    <w:basedOn w:val="Ndice"/>
    <w:pPr>
      <w:tabs>
        <w:tab w:val="clear" w:pos="720"/>
        <w:tab w:val="right" w:pos="7945" w:leader="dot"/>
      </w:tabs>
      <w:ind w:left="1415" w:hanging="0"/>
    </w:pPr>
    <w:rPr>
      <w:rFonts w:ascii="Ubuntu" w:hAnsi="Ubuntu"/>
      <w:sz w:val="20"/>
    </w:rPr>
  </w:style>
  <w:style w:type="paragraph" w:styleId="Contents5">
    <w:name w:val="TOC 5"/>
    <w:basedOn w:val="Ndice"/>
    <w:pPr>
      <w:tabs>
        <w:tab w:val="clear" w:pos="720"/>
        <w:tab w:val="right" w:pos="8228" w:leader="dot"/>
      </w:tabs>
      <w:ind w:left="1132" w:hanging="0"/>
    </w:pPr>
    <w:rPr>
      <w:rFonts w:ascii="Ubuntu" w:hAnsi="Ubuntu"/>
      <w:sz w:val="20"/>
    </w:rPr>
  </w:style>
  <w:style w:type="paragraph" w:styleId="Contents4">
    <w:name w:val="TOC 4"/>
    <w:basedOn w:val="Ndice"/>
    <w:pPr>
      <w:tabs>
        <w:tab w:val="clear" w:pos="720"/>
        <w:tab w:val="right" w:pos="8511" w:leader="dot"/>
      </w:tabs>
      <w:ind w:left="849" w:hanging="0"/>
    </w:pPr>
    <w:rPr>
      <w:rFonts w:ascii="Ubuntu" w:hAnsi="Ubuntu"/>
      <w:sz w:val="20"/>
    </w:rPr>
  </w:style>
  <w:style w:type="paragraph" w:styleId="Ttulo10">
    <w:name w:val="Título 10"/>
    <w:basedOn w:val="Ttulo"/>
    <w:next w:val="TextBody"/>
    <w:qFormat/>
    <w:pPr>
      <w:spacing w:before="60" w:after="60"/>
      <w:outlineLvl w:val="8"/>
    </w:pPr>
    <w:rPr>
      <w:rFonts w:ascii="Ubuntu" w:hAnsi="Ubuntu"/>
      <w:b w:val="false"/>
      <w:bCs/>
      <w:sz w:val="21"/>
      <w:szCs w:val="21"/>
    </w:rPr>
  </w:style>
  <w:style w:type="paragraph" w:styleId="Ttulodondicedousurio">
    <w:name w:val="Título do índice do usuário"/>
    <w:basedOn w:val="IndexHeading"/>
    <w:qFormat/>
    <w:pPr>
      <w:suppressLineNumbers/>
      <w:ind w:left="0" w:hanging="0"/>
    </w:pPr>
    <w:rPr>
      <w:rFonts w:ascii="Ubuntu" w:hAnsi="Ubuntu"/>
      <w:b/>
      <w:bCs/>
      <w:caps/>
      <w:sz w:val="32"/>
      <w:szCs w:val="32"/>
    </w:rPr>
  </w:style>
  <w:style w:type="paragraph" w:styleId="Ttulodondicedetabelas">
    <w:name w:val="Título do índice de tabelas"/>
    <w:basedOn w:val="IndexHeading"/>
    <w:qFormat/>
    <w:pPr>
      <w:suppressLineNumbers/>
      <w:ind w:left="0" w:hanging="0"/>
    </w:pPr>
    <w:rPr>
      <w:rFonts w:ascii="Ubuntu" w:hAnsi="Ubuntu"/>
      <w:b/>
      <w:bCs/>
      <w:i w:val="false"/>
      <w:sz w:val="32"/>
      <w:szCs w:val="32"/>
    </w:rPr>
  </w:style>
  <w:style w:type="paragraph" w:styleId="Ttulodondicedeobjetos">
    <w:name w:val="Título do índice de objetos"/>
    <w:basedOn w:val="IndexHeading"/>
    <w:qFormat/>
    <w:pPr>
      <w:suppressLineNumbers/>
      <w:ind w:left="0" w:hanging="0"/>
    </w:pPr>
    <w:rPr>
      <w:rFonts w:ascii="Ubuntu" w:hAnsi="Ubuntu"/>
      <w:b/>
      <w:bCs/>
      <w:sz w:val="32"/>
      <w:szCs w:val="32"/>
    </w:rPr>
  </w:style>
  <w:style w:type="paragraph" w:styleId="Ttulodondicedefiguras">
    <w:name w:val="Título do índice de figuras"/>
    <w:basedOn w:val="IndexHeading"/>
    <w:qFormat/>
    <w:pPr>
      <w:suppressLineNumbers/>
      <w:ind w:left="0" w:hanging="0"/>
    </w:pPr>
    <w:rPr>
      <w:rFonts w:ascii="Ubuntu" w:hAnsi="Ubuntu"/>
      <w:b/>
      <w:bCs/>
      <w:i w:val="false"/>
      <w:sz w:val="32"/>
      <w:szCs w:val="32"/>
    </w:rPr>
  </w:style>
  <w:style w:type="paragraph" w:styleId="Citaes">
    <w:name w:val="Citações"/>
    <w:basedOn w:val="Normal"/>
    <w:qFormat/>
    <w:pPr>
      <w:spacing w:before="0" w:after="283"/>
      <w:ind w:left="567" w:right="567" w:hanging="0"/>
    </w:pPr>
    <w:rPr/>
  </w:style>
  <w:style w:type="paragraph" w:styleId="TableofAuthorities">
    <w:name w:val="Table of Authorities"/>
    <w:basedOn w:val="IndexHeading"/>
    <w:qFormat/>
    <w:pPr>
      <w:suppressLineNumbers/>
      <w:ind w:left="0" w:hanging="0"/>
    </w:pPr>
    <w:rPr>
      <w:b/>
      <w:bCs/>
      <w:sz w:val="28"/>
      <w:szCs w:val="32"/>
    </w:rPr>
  </w:style>
  <w:style w:type="paragraph" w:styleId="Tabela">
    <w:name w:val="Tabela"/>
    <w:basedOn w:val="Caption"/>
    <w:qFormat/>
    <w:pPr/>
    <w:rPr/>
  </w:style>
  <w:style w:type="paragraph" w:styleId="Closing">
    <w:name w:val="Closing"/>
    <w:basedOn w:val="Ttulo"/>
    <w:next w:val="TextBody"/>
    <w:qFormat/>
    <w:pPr>
      <w:jc w:val="center"/>
    </w:pPr>
    <w:rPr>
      <w:rFonts w:ascii="Ubuntu" w:hAnsi="Ubuntu"/>
      <w:b/>
      <w:bCs/>
      <w:sz w:val="32"/>
      <w:szCs w:val="32"/>
    </w:rPr>
  </w:style>
  <w:style w:type="paragraph" w:styleId="Contedodoquadro">
    <w:name w:val="Conteúdo do quadro"/>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hilsf-biostat.github.io/SAR-2022-016-JB/"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s://philsf-biostat.github.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Application>LibreOffice/7.3.2.2$Linux_X86_64 LibreOffice_project/30$Build-2</Application>
  <AppVersion>15.0000</AppVersion>
  <Pages>13</Pages>
  <Words>1396</Words>
  <Characters>6974</Characters>
  <CharactersWithSpaces>8112</CharactersWithSpaces>
  <Paragraphs>351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2022-05-05T23:58:35Z</dcterms:created>
  <dc:creator>De: Felipe Figueiredo Para: Janaina Balmant</dc:creator>
  <dc:description/>
  <dc:language>pt-BR</dc:language>
  <cp:lastModifiedBy>Felipe Figueiredo</cp:lastModifiedBy>
  <dcterms:modified xsi:type="dcterms:W3CDTF">2022-05-05T21:10:40Z</dcterms:modified>
  <cp:revision>5</cp:revision>
  <dc:subject/>
  <dc:title>Associação entre vacinação de COVID-19 e internações por SRAG em idosos nas áreas programáticas do Rio de Janeiro/RJ em 2021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2022-05-05</vt:lpwstr>
  </property>
  <property fmtid="{D5CDD505-2E9C-101B-9397-08002B2CF9AE}" pid="3" name="output">
    <vt:lpwstr/>
  </property>
  <property fmtid="{D5CDD505-2E9C-101B-9397-08002B2CF9AE}" pid="4" name="subtitle">
    <vt:lpwstr>DOCUMENTO: SAR-2022-016-JB-v02</vt:lpwstr>
  </property>
  <property fmtid="{D5CDD505-2E9C-101B-9397-08002B2CF9AE}" pid="5" name="toc-title">
    <vt:lpwstr>Sumário</vt:lpwstr>
  </property>
</Properties>
</file>