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Plano Analítico para Eficácia do enxerto Vivendi na correção de curvatura peniana</w:t>
      </w:r>
    </w:p>
    <w:p>
      <w:pPr>
        <w:pStyle w:val="Subtitle"/>
        <w:rPr/>
      </w:pPr>
      <w:r>
        <w:rPr/>
        <w:t>DOCUMENTO: SAP-2022-033-SG-v01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Sidney Glina</w:t>
      </w:r>
    </w:p>
    <w:p>
      <w:pPr>
        <w:pStyle w:val="Date"/>
        <w:rPr/>
      </w:pPr>
      <w:r>
        <w:rPr/>
        <w:t>2022-12-17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4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0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6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60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62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64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Desenho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66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Critérios de inclusão e exclusão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6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4.3  Exposições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70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4.4  Desfechos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72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4.5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74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76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7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80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82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84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86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8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90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92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94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96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98_3191245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Plano Analítico para Eficácia do enxerto Vivendi na correção de curvatura peniana</w:t>
      </w:r>
    </w:p>
    <w:p>
      <w:pPr>
        <w:pStyle w:val="TextBody"/>
        <w:rPr/>
      </w:pPr>
      <w:r>
        <w:rPr>
          <w:b/>
          <w:bCs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1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348_31912453"/>
      <w:bookmarkStart w:id="1" w:name="lista-de-abreviaturas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DP: desvio padrão</w:t>
      </w:r>
    </w:p>
    <w:p>
      <w:pPr>
        <w:pStyle w:val="Compact"/>
        <w:numPr>
          <w:ilvl w:val="0"/>
          <w:numId w:val="2"/>
        </w:numPr>
        <w:rPr/>
      </w:pPr>
      <w:r>
        <w:rPr/>
        <w:t>IC: intervalo de confiança</w:t>
      </w:r>
    </w:p>
    <w:p>
      <w:pPr>
        <w:pStyle w:val="Compact"/>
        <w:numPr>
          <w:ilvl w:val="0"/>
          <w:numId w:val="2"/>
        </w:numPr>
        <w:rPr/>
      </w:pPr>
      <w:r>
        <w:rPr/>
        <w:t>IMC: índice de massa corpórea</w:t>
      </w:r>
    </w:p>
    <w:p>
      <w:pPr>
        <w:pStyle w:val="Compact"/>
        <w:numPr>
          <w:ilvl w:val="0"/>
          <w:numId w:val="2"/>
        </w:numPr>
        <w:rPr/>
      </w:pPr>
      <w:r>
        <w:rPr/>
        <w:t>IRR: razão de taxas de incidência (</w:t>
      </w:r>
      <w:r>
        <w:rPr>
          <w:i/>
          <w:iCs/>
        </w:rPr>
        <w:t>incidence rates ratio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r>
        <w:rPr/>
        <w:t>RR: razão de riscos (</w:t>
      </w:r>
      <w:r>
        <w:rPr>
          <w:i/>
          <w:iCs/>
        </w:rPr>
        <w:t>risks ratio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bookmarkStart w:id="2" w:name="lista-de-abreviaturas"/>
      <w:r>
        <w:rPr/>
        <w:t>SIS: Enxerto de submucosa do intestino delgado</w:t>
      </w:r>
      <w:bookmarkEnd w:id="2"/>
    </w:p>
    <w:p>
      <w:pPr>
        <w:pStyle w:val="Heading1"/>
        <w:rPr/>
      </w:pPr>
      <w:bookmarkStart w:id="3" w:name="__RefHeading___Toc350_31912453"/>
      <w:bookmarkStart w:id="4" w:name="contexto"/>
      <w:bookmarkEnd w:id="3"/>
      <w:r>
        <w:rPr/>
        <w:t>Contexto</w:t>
      </w:r>
    </w:p>
    <w:p>
      <w:pPr>
        <w:pStyle w:val="Heading2"/>
        <w:rPr/>
      </w:pPr>
      <w:bookmarkStart w:id="5" w:name="__RefHeading___Toc352_31912453"/>
      <w:bookmarkStart w:id="6" w:name="objetivos"/>
      <w:bookmarkEnd w:id="5"/>
      <w:r>
        <w:rPr/>
        <w:t>Objetivos</w:t>
      </w:r>
    </w:p>
    <w:p>
      <w:pPr>
        <w:pStyle w:val="FirstParagraph"/>
        <w:rPr/>
      </w:pPr>
      <w:bookmarkStart w:id="7" w:name="objetivos"/>
      <w:r>
        <w:rPr/>
        <w:t>Avaliar a eficácia do enxerto Vivendi na correção de curvatura peniana.</w:t>
      </w:r>
      <w:bookmarkEnd w:id="7"/>
    </w:p>
    <w:p>
      <w:pPr>
        <w:pStyle w:val="Heading2"/>
        <w:rPr/>
      </w:pPr>
      <w:bookmarkStart w:id="8" w:name="__RefHeading___Toc354_31912453"/>
      <w:bookmarkStart w:id="9" w:name="hipóteses"/>
      <w:bookmarkEnd w:id="8"/>
      <w:r>
        <w:rPr/>
        <w:t>Hipóteses</w:t>
      </w:r>
    </w:p>
    <w:p>
      <w:pPr>
        <w:pStyle w:val="FirstParagraph"/>
        <w:rPr/>
      </w:pPr>
      <w:bookmarkStart w:id="10" w:name="contexto"/>
      <w:bookmarkStart w:id="11" w:name="hipóteses"/>
      <w:r>
        <w:rPr/>
        <w:t>O uso do Enxerto Vivendi apresenta redução de curvatura peniana comparável ao uso do enxerto SIS em pacientes submetidos a corporoplastia.</w:t>
      </w:r>
      <w:bookmarkEnd w:id="10"/>
      <w:bookmarkEnd w:id="11"/>
    </w:p>
    <w:p>
      <w:pPr>
        <w:pStyle w:val="Heading1"/>
        <w:rPr/>
      </w:pPr>
      <w:bookmarkStart w:id="12" w:name="__RefHeading___Toc356_31912453"/>
      <w:bookmarkStart w:id="13" w:name="dados"/>
      <w:bookmarkEnd w:id="12"/>
      <w:r>
        <w:rPr/>
        <w:t>Dados</w:t>
      </w:r>
    </w:p>
    <w:p>
      <w:pPr>
        <w:pStyle w:val="Heading2"/>
        <w:rPr/>
      </w:pPr>
      <w:bookmarkStart w:id="14" w:name="__RefHeading___Toc358_31912453"/>
      <w:bookmarkStart w:id="15" w:name="dados-brutos"/>
      <w:bookmarkEnd w:id="14"/>
      <w:r>
        <w:rPr/>
        <w:t>Dados brutos</w:t>
      </w:r>
      <w:bookmarkEnd w:id="15"/>
    </w:p>
    <w:p>
      <w:pPr>
        <w:pStyle w:val="Heading2"/>
        <w:rPr/>
      </w:pPr>
      <w:bookmarkStart w:id="16" w:name="dados"/>
      <w:bookmarkStart w:id="17" w:name="__RefHeading___Toc360_31912453"/>
      <w:bookmarkStart w:id="18" w:name="tabela-de-dados-analíticos"/>
      <w:bookmarkEnd w:id="17"/>
      <w:r>
        <w:rPr/>
        <w:t>Tabela de dados analíticos</w:t>
      </w:r>
      <w:bookmarkEnd w:id="16"/>
      <w:bookmarkEnd w:id="18"/>
    </w:p>
    <w:p>
      <w:pPr>
        <w:pStyle w:val="Heading1"/>
        <w:rPr/>
      </w:pPr>
      <w:bookmarkStart w:id="19" w:name="__RefHeading___Toc362_31912453"/>
      <w:bookmarkStart w:id="20" w:name="parâmetros-do-estudo"/>
      <w:bookmarkEnd w:id="19"/>
      <w:r>
        <w:rPr/>
        <w:t>Parâmetros do estudo</w:t>
      </w:r>
    </w:p>
    <w:p>
      <w:pPr>
        <w:pStyle w:val="Heading2"/>
        <w:rPr/>
      </w:pPr>
      <w:bookmarkStart w:id="21" w:name="__RefHeading___Toc364_31912453"/>
      <w:bookmarkStart w:id="22" w:name="desenho-do-estudo"/>
      <w:bookmarkEnd w:id="21"/>
      <w:r>
        <w:rPr/>
        <w:t>Desenho do estudo</w:t>
      </w:r>
    </w:p>
    <w:p>
      <w:pPr>
        <w:pStyle w:val="FirstParagraph"/>
        <w:rPr/>
      </w:pPr>
      <w:bookmarkStart w:id="23" w:name="desenho-do-estudo"/>
      <w:r>
        <w:rPr/>
        <w:t>Ensaio clínico controlado e aleatorizado.</w:t>
      </w:r>
      <w:bookmarkEnd w:id="23"/>
    </w:p>
    <w:p>
      <w:pPr>
        <w:pStyle w:val="Heading2"/>
        <w:rPr/>
      </w:pPr>
      <w:bookmarkStart w:id="24" w:name="__RefHeading___Toc366_31912453"/>
      <w:bookmarkStart w:id="25" w:name="critérios-de-inclusão-e-exclusão"/>
      <w:bookmarkEnd w:id="24"/>
      <w:r>
        <w:rPr/>
        <w:t>Critérios de inclusão e exclusão</w:t>
      </w:r>
    </w:p>
    <w:p>
      <w:pPr>
        <w:pStyle w:val="FirstParagraph"/>
        <w:rPr/>
      </w:pPr>
      <w:r>
        <w:rPr/>
        <w:t>Apresentem Doença de Peyronie há mais de um ano, com curvatura uniplanar maior que 60° e que comprometam a penetração vaginal e que não se modificou nos últimos seis meses e tenham rigidez peniana satisfatória (resposta adequada ao uso de inibidores de PDE-5 ou teste de ereção com drogas intracavernosas) e que se encaixem nas condições abaixo listadas:</w:t>
      </w:r>
    </w:p>
    <w:p>
      <w:pPr>
        <w:pStyle w:val="Compact"/>
        <w:numPr>
          <w:ilvl w:val="0"/>
          <w:numId w:val="7"/>
        </w:numPr>
        <w:rPr/>
      </w:pPr>
      <w:r>
        <w:rPr/>
        <w:t>Ausência de dor peniana à ereção nos últimos 6 meses;</w:t>
      </w:r>
    </w:p>
    <w:p>
      <w:pPr>
        <w:pStyle w:val="Compact"/>
        <w:numPr>
          <w:ilvl w:val="0"/>
          <w:numId w:val="8"/>
        </w:numPr>
        <w:rPr/>
      </w:pPr>
      <w:r>
        <w:rPr/>
        <w:t>Ter parceira sexual;</w:t>
      </w:r>
    </w:p>
    <w:p>
      <w:pPr>
        <w:pStyle w:val="Compact"/>
        <w:numPr>
          <w:ilvl w:val="0"/>
          <w:numId w:val="9"/>
        </w:numPr>
        <w:rPr/>
      </w:pPr>
      <w:r>
        <w:rPr/>
        <w:t>Ter capacidade para responder questionários;</w:t>
      </w:r>
    </w:p>
    <w:p>
      <w:pPr>
        <w:pStyle w:val="Compact"/>
        <w:numPr>
          <w:ilvl w:val="0"/>
          <w:numId w:val="10"/>
        </w:numPr>
        <w:rPr/>
      </w:pPr>
      <w:r>
        <w:rPr/>
        <w:t>Saber ler;</w:t>
      </w:r>
    </w:p>
    <w:p>
      <w:pPr>
        <w:pStyle w:val="Compact"/>
        <w:numPr>
          <w:ilvl w:val="0"/>
          <w:numId w:val="11"/>
        </w:numPr>
        <w:rPr/>
      </w:pPr>
      <w:bookmarkStart w:id="26" w:name="critérios-de-inclusão-e-exclusão"/>
      <w:r>
        <w:rPr/>
        <w:t>Ser maiores de 18 anos.</w:t>
      </w:r>
      <w:bookmarkEnd w:id="26"/>
    </w:p>
    <w:p>
      <w:pPr>
        <w:pStyle w:val="Heading2"/>
        <w:rPr/>
      </w:pPr>
      <w:bookmarkStart w:id="27" w:name="__RefHeading___Toc368_31912453"/>
      <w:bookmarkStart w:id="28" w:name="exposições"/>
      <w:bookmarkEnd w:id="27"/>
      <w:r>
        <w:rPr/>
        <w:t>Exposições</w:t>
      </w:r>
    </w:p>
    <w:p>
      <w:pPr>
        <w:pStyle w:val="FirstParagraph"/>
        <w:rPr/>
      </w:pPr>
      <w:r>
        <w:rPr/>
        <w:t>Os participantes recrutados para o estudo serão randomizados para inclusão no grupo experimental ou no grupo de controle.</w:t>
      </w:r>
    </w:p>
    <w:p>
      <w:pPr>
        <w:pStyle w:val="Compact"/>
        <w:numPr>
          <w:ilvl w:val="0"/>
          <w:numId w:val="12"/>
        </w:numPr>
        <w:rPr/>
      </w:pPr>
      <w:r>
        <w:rPr/>
        <w:t>Experimental: enxerto Vivendi</w:t>
      </w:r>
    </w:p>
    <w:p>
      <w:pPr>
        <w:pStyle w:val="Compact"/>
        <w:numPr>
          <w:ilvl w:val="0"/>
          <w:numId w:val="13"/>
        </w:numPr>
        <w:rPr/>
      </w:pPr>
      <w:bookmarkStart w:id="29" w:name="exposições"/>
      <w:r>
        <w:rPr/>
        <w:t>Controle: enxerto SIS</w:t>
      </w:r>
      <w:bookmarkEnd w:id="29"/>
    </w:p>
    <w:p>
      <w:pPr>
        <w:pStyle w:val="Heading2"/>
        <w:rPr/>
      </w:pPr>
      <w:bookmarkStart w:id="30" w:name="__RefHeading___Toc370_31912453"/>
      <w:bookmarkStart w:id="31" w:name="desfechos"/>
      <w:bookmarkEnd w:id="30"/>
      <w:r>
        <w:rPr/>
        <w:t>Desfechos</w:t>
      </w:r>
    </w:p>
    <w:p>
      <w:pPr>
        <w:pStyle w:val="FirstParagraph"/>
        <w:rPr/>
      </w:pPr>
      <w:r>
        <w:rPr>
          <w:b/>
          <w:bCs/>
        </w:rPr>
        <w:t>Especificação das medidas de desfecho</w:t>
      </w:r>
      <w:r>
        <w:rPr/>
        <w:t xml:space="preserve"> (Zarin, 2011):</w:t>
      </w:r>
    </w:p>
    <w:p>
      <w:pPr>
        <w:pStyle w:val="Compact"/>
        <w:numPr>
          <w:ilvl w:val="0"/>
          <w:numId w:val="14"/>
        </w:numPr>
        <w:rPr/>
      </w:pPr>
      <w:r>
        <w:rPr/>
        <w:t>(Domínio) Corporoplastia</w:t>
      </w:r>
    </w:p>
    <w:p>
      <w:pPr>
        <w:pStyle w:val="Compact"/>
        <w:numPr>
          <w:ilvl w:val="0"/>
          <w:numId w:val="5"/>
        </w:numPr>
        <w:rPr/>
      </w:pPr>
      <w:r>
        <w:rPr/>
        <w:t>(Mensuração específica) Curvatura peniana</w:t>
      </w:r>
    </w:p>
    <w:p>
      <w:pPr>
        <w:pStyle w:val="Compact"/>
        <w:numPr>
          <w:ilvl w:val="0"/>
          <w:numId w:val="5"/>
        </w:numPr>
        <w:rPr/>
      </w:pPr>
      <w:r>
        <w:rPr/>
        <w:t>(Métrica específica) Mudança desde a linha de base (</w:t>
      </w:r>
      <w:r>
        <w:rPr>
          <w:i/>
          <w:iCs/>
        </w:rPr>
        <w:t>baseline</w:t>
      </w:r>
      <w:r>
        <w:rPr/>
        <w:t>)</w:t>
      </w:r>
    </w:p>
    <w:p>
      <w:pPr>
        <w:pStyle w:val="Compact"/>
        <w:numPr>
          <w:ilvl w:val="0"/>
          <w:numId w:val="5"/>
        </w:numPr>
        <w:rPr/>
      </w:pPr>
      <w:r>
        <w:rPr/>
        <w:t>(Método de agregação) Proporção de participantes com redução da curvatura a &lt;20 graus</w:t>
      </w:r>
    </w:p>
    <w:p>
      <w:pPr>
        <w:pStyle w:val="FirstParagraph"/>
        <w:rPr/>
      </w:pPr>
      <w:r>
        <w:rPr>
          <w:b/>
          <w:bCs/>
        </w:rPr>
        <w:t>Desfecho primário</w:t>
      </w:r>
    </w:p>
    <w:p>
      <w:pPr>
        <w:pStyle w:val="TextBody"/>
        <w:rPr/>
      </w:pPr>
      <w:bookmarkStart w:id="32" w:name="desfechos"/>
      <w:r>
        <w:rPr/>
        <w:t>Proporção de participantes com redução da curvatura a &lt; 20 graus comparado ao estado no início do estudo.</w:t>
      </w:r>
      <w:bookmarkEnd w:id="32"/>
    </w:p>
    <w:p>
      <w:pPr>
        <w:pStyle w:val="Heading2"/>
        <w:rPr/>
      </w:pPr>
      <w:bookmarkStart w:id="33" w:name="parâmetros-do-estudo"/>
      <w:bookmarkStart w:id="34" w:name="__RefHeading___Toc372_31912453"/>
      <w:bookmarkStart w:id="35" w:name="covariáveis"/>
      <w:bookmarkEnd w:id="34"/>
      <w:r>
        <w:rPr/>
        <w:t>Covariáveis</w:t>
      </w:r>
      <w:bookmarkEnd w:id="33"/>
      <w:bookmarkEnd w:id="35"/>
    </w:p>
    <w:p>
      <w:pPr>
        <w:pStyle w:val="Heading1"/>
        <w:rPr/>
      </w:pPr>
      <w:bookmarkStart w:id="36" w:name="__RefHeading___Toc374_31912453"/>
      <w:bookmarkStart w:id="37" w:name="métodos-estatísticos"/>
      <w:bookmarkEnd w:id="36"/>
      <w:r>
        <w:rPr/>
        <w:t>Métodos estatísticos</w:t>
      </w:r>
    </w:p>
    <w:p>
      <w:pPr>
        <w:pStyle w:val="Heading2"/>
        <w:rPr/>
      </w:pPr>
      <w:bookmarkStart w:id="38" w:name="__RefHeading___Toc376_31912453"/>
      <w:bookmarkStart w:id="39" w:name="análises-estatísticas"/>
      <w:bookmarkEnd w:id="38"/>
      <w:r>
        <w:rPr/>
        <w:t>Análises estatísticas</w:t>
      </w:r>
    </w:p>
    <w:p>
      <w:pPr>
        <w:pStyle w:val="Heading3"/>
        <w:rPr/>
      </w:pPr>
      <w:bookmarkStart w:id="40" w:name="__RefHeading___Toc378_31912453"/>
      <w:bookmarkStart w:id="41" w:name="análise-descritiva"/>
      <w:bookmarkEnd w:id="40"/>
      <w:r>
        <w:rPr/>
        <w:t>Análise descritiva</w:t>
      </w:r>
    </w:p>
    <w:p>
      <w:pPr>
        <w:pStyle w:val="FirstParagraph"/>
        <w:rPr/>
      </w:pPr>
      <w:bookmarkStart w:id="42" w:name="análise-descritiva"/>
      <w:r>
        <w:rPr/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42"/>
    </w:p>
    <w:p>
      <w:pPr>
        <w:pStyle w:val="Heading3"/>
        <w:rPr/>
      </w:pPr>
      <w:bookmarkStart w:id="43" w:name="__RefHeading___Toc380_31912453"/>
      <w:bookmarkStart w:id="44" w:name="análise-inferencial"/>
      <w:bookmarkEnd w:id="43"/>
      <w:r>
        <w:rPr/>
        <w:t>Análise inferencial</w:t>
      </w:r>
    </w:p>
    <w:p>
      <w:pPr>
        <w:pStyle w:val="FirstParagraph"/>
        <w:rPr/>
      </w:pPr>
      <w:bookmarkStart w:id="45" w:name="análise-inferencial"/>
      <w:r>
        <w:rPr/>
        <w:t>Todas as análises inferenciais serão realizadas com base nos modelos estatísticos (descritos na próxima seção).</w:t>
      </w:r>
      <w:bookmarkEnd w:id="45"/>
    </w:p>
    <w:p>
      <w:pPr>
        <w:pStyle w:val="Heading3"/>
        <w:rPr/>
      </w:pPr>
      <w:bookmarkStart w:id="46" w:name="__RefHeading___Toc382_31912453"/>
      <w:bookmarkStart w:id="47" w:name="modelagem-estatística"/>
      <w:bookmarkEnd w:id="46"/>
      <w:r>
        <w:rPr/>
        <w:t>Modelagem estatística</w:t>
      </w:r>
    </w:p>
    <w:p>
      <w:pPr>
        <w:pStyle w:val="FirstParagraph"/>
        <w:rPr/>
      </w:pPr>
      <w:bookmarkStart w:id="48" w:name="modelagem-estatística"/>
      <w:r>
        <w:rPr/>
        <w:t>A taxa de incidência de correção da curvatura peniana será estimada ajustando modelos de regressão de Poisson. Esta abordagem multivariada tem a capacidade de estimar a IRR a partir do número de participantes que atingiram o desfecho primário, ajustando pelas covariáveis.</w:t>
      </w:r>
      <w:bookmarkEnd w:id="48"/>
    </w:p>
    <w:p>
      <w:pPr>
        <w:pStyle w:val="Heading3"/>
        <w:rPr/>
      </w:pPr>
      <w:bookmarkStart w:id="49" w:name="__RefHeading___Toc384_31912453"/>
      <w:bookmarkStart w:id="50" w:name="dados-faltantes"/>
      <w:bookmarkEnd w:id="49"/>
      <w:r>
        <w:rPr/>
        <w:t>Dados faltantes</w:t>
      </w:r>
    </w:p>
    <w:p>
      <w:pPr>
        <w:pStyle w:val="FirstParagraph"/>
        <w:rPr/>
      </w:pPr>
      <w:bookmarkStart w:id="51" w:name="análises-estatísticas"/>
      <w:bookmarkStart w:id="52" w:name="dados-faltantes"/>
      <w:r>
        <w:rPr/>
        <w:t>Não serão realizadas imputações de dados faltantes. Todas as avaliações serão realizadas como análises de casos completos.</w:t>
      </w:r>
      <w:bookmarkEnd w:id="51"/>
      <w:bookmarkEnd w:id="52"/>
    </w:p>
    <w:p>
      <w:pPr>
        <w:pStyle w:val="Heading2"/>
        <w:rPr/>
      </w:pPr>
      <w:bookmarkStart w:id="53" w:name="__RefHeading___Toc386_31912453"/>
      <w:bookmarkStart w:id="54" w:name="significância-e-intervalos-de-confiança"/>
      <w:bookmarkEnd w:id="53"/>
      <w:r>
        <w:rPr/>
        <w:t>Significância e Intervalos de Confiança</w:t>
      </w:r>
    </w:p>
    <w:p>
      <w:pPr>
        <w:pStyle w:val="FirstParagraph"/>
        <w:rPr/>
      </w:pPr>
      <w:bookmarkStart w:id="55" w:name="significância-e-intervalos-de-confiança"/>
      <w:r>
        <w:rPr/>
        <w:t xml:space="preserve">Todas as análises serão realizadas ao nível de significância de 5%. Todos os testes de hipóteses e intervalos de confiança calculados serão bicaudais.  </w:t>
      </w:r>
      <w:bookmarkEnd w:id="55"/>
    </w:p>
    <w:p>
      <w:pPr>
        <w:pStyle w:val="Heading2"/>
        <w:rPr/>
      </w:pPr>
      <w:bookmarkStart w:id="56" w:name="__RefHeading___Toc388_31912453"/>
      <w:bookmarkStart w:id="57" w:name="tamanho-da-amostra-e-poder"/>
      <w:bookmarkEnd w:id="56"/>
      <w:r>
        <w:rPr/>
        <w:t>Tamanho da amostra e Poder</w:t>
      </w:r>
    </w:p>
    <w:p>
      <w:pPr>
        <w:pStyle w:val="FirstParagraph"/>
        <w:rPr/>
      </w:pPr>
      <w:bookmarkStart w:id="58" w:name="tamanho-da-amostra-e-poder"/>
      <w:r>
        <w:rPr/>
        <w:t>N/A</w:t>
      </w:r>
      <w:bookmarkEnd w:id="58"/>
    </w:p>
    <w:p>
      <w:pPr>
        <w:pStyle w:val="Heading2"/>
        <w:rPr/>
      </w:pPr>
      <w:bookmarkStart w:id="59" w:name="__RefHeading___Toc390_31912453"/>
      <w:bookmarkStart w:id="60" w:name="softwares-utilizados"/>
      <w:bookmarkEnd w:id="59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4.2.1.</w:t>
      </w:r>
      <w:bookmarkEnd w:id="37"/>
      <w:bookmarkEnd w:id="60"/>
    </w:p>
    <w:p>
      <w:pPr>
        <w:pStyle w:val="Heading1"/>
        <w:rPr/>
      </w:pPr>
      <w:bookmarkStart w:id="61" w:name="__RefHeading___Toc392_31912453"/>
      <w:bookmarkStart w:id="62" w:name="observações-e-limitações"/>
      <w:bookmarkEnd w:id="61"/>
      <w:r>
        <w:rPr/>
        <w:t>Observações e limitações</w:t>
      </w:r>
    </w:p>
    <w:p>
      <w:pPr>
        <w:pStyle w:val="FirstParagraph"/>
        <w:rPr/>
      </w:pPr>
      <w:r>
        <w:rPr>
          <w:b/>
          <w:bCs/>
        </w:rPr>
        <w:t>Guideline recomendado de relato completo</w:t>
      </w:r>
    </w:p>
    <w:p>
      <w:pPr>
        <w:pStyle w:val="TextBody"/>
        <w:rPr/>
      </w:pPr>
      <w:r>
        <w:rPr/>
        <w:t>A adoção dos guidelines de relato da rede EQUATOR (</w:t>
      </w:r>
      <w:hyperlink r:id="rId2">
        <w:r>
          <w:rPr>
            <w:rStyle w:val="InternetLink"/>
          </w:rPr>
          <w:t>http://www.equator-network.org/</w:t>
        </w:r>
      </w:hyperlink>
      <w:r>
        <w:rPr/>
        <w:t>) têm sido ampliada em revistas científicas.  Recomenda-se que todos os ensaios clínicos sigam o guideline CONSORT (Schulz K F, Altman D G, Moher D., 2010).</w:t>
      </w:r>
      <w:bookmarkEnd w:id="62"/>
    </w:p>
    <w:p>
      <w:pPr>
        <w:pStyle w:val="Heading1"/>
        <w:rPr/>
      </w:pPr>
      <w:bookmarkStart w:id="63" w:name="__RefHeading___Toc394_31912453"/>
      <w:bookmarkStart w:id="64" w:name="referências"/>
      <w:bookmarkEnd w:id="63"/>
      <w:r>
        <w:rPr/>
        <w:t>Referências</w:t>
      </w:r>
    </w:p>
    <w:p>
      <w:pPr>
        <w:pStyle w:val="Compact"/>
        <w:numPr>
          <w:ilvl w:val="0"/>
          <w:numId w:val="15"/>
        </w:numPr>
        <w:rPr/>
      </w:pPr>
      <w:r>
        <w:rPr/>
        <w:t>Zarin DA, et al. The ClinicalTrials.gov results database – update and key issues. N Engl J Med 2011;364:852-60 (</w:t>
      </w:r>
      <w:hyperlink r:id="rId3">
        <w:r>
          <w:rPr>
            <w:rStyle w:val="InternetLink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6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InternetLink"/>
          </w:rPr>
          <w:t>https://doi.org/10.1001/jama.2017.18556</w:t>
        </w:r>
      </w:hyperlink>
      <w:r>
        <w:rPr/>
        <w:t xml:space="preserve">). </w:t>
      </w:r>
    </w:p>
    <w:p>
      <w:pPr>
        <w:pStyle w:val="Compact"/>
        <w:numPr>
          <w:ilvl w:val="0"/>
          <w:numId w:val="17"/>
        </w:numPr>
        <w:rPr/>
      </w:pPr>
      <w:r>
        <w:rPr/>
        <w:t>Schulz K F, Altman D G, Moher D. CONSORT 2010 Statement: updated guidelines for reporting parallel group randomised trials BMJ 2010; 340 :c332 (</w:t>
      </w:r>
      <w:hyperlink r:id="rId5">
        <w:r>
          <w:rPr>
            <w:rStyle w:val="InternetLink"/>
          </w:rPr>
          <w:t>https://doi.org/10.1136/bmj.c332</w:t>
        </w:r>
      </w:hyperlink>
      <w:r>
        <w:rPr/>
        <w:t>).</w:t>
      </w:r>
      <w:bookmarkEnd w:id="64"/>
    </w:p>
    <w:p>
      <w:pPr>
        <w:pStyle w:val="Heading1"/>
        <w:rPr/>
      </w:pPr>
      <w:bookmarkStart w:id="65" w:name="__RefHeading___Toc396_31912453"/>
      <w:bookmarkStart w:id="66" w:name="apêndice"/>
      <w:bookmarkEnd w:id="65"/>
      <w:r>
        <w:rPr/>
        <w:t>Apêndice</w:t>
      </w:r>
    </w:p>
    <w:p>
      <w:pPr>
        <w:pStyle w:val="FirstParagraph"/>
        <w:rPr/>
      </w:pPr>
      <w:r>
        <w:rPr/>
        <w:t>Este documento foi elaborado seguindo recomendações de estrutura para Planos de Análise Estatística (Gamble, 2017) para maior transparência e clareza.</w:t>
      </w:r>
    </w:p>
    <w:p>
      <w:pPr>
        <w:pStyle w:val="Heading2"/>
        <w:rPr/>
      </w:pPr>
      <w:bookmarkStart w:id="67" w:name="__RefHeading___Toc398_31912453"/>
      <w:bookmarkStart w:id="68" w:name="disponibilidade"/>
      <w:bookmarkEnd w:id="67"/>
      <w:r>
        <w:rPr/>
        <w:t>Disponibilidade</w:t>
      </w:r>
    </w:p>
    <w:p>
      <w:pPr>
        <w:pStyle w:val="FirstParagraph"/>
        <w:rPr/>
      </w:pPr>
      <w:r>
        <w:rPr/>
        <w:t>Todos os documentos gerados nessa consultoria foram incluídos no portfólio do consultor.</w:t>
      </w:r>
    </w:p>
    <w:p>
      <w:pPr>
        <w:pStyle w:val="TextBody"/>
        <w:rPr/>
      </w:pPr>
      <w:r>
        <w:rPr/>
        <w:t>O portfólio pode ser visto em:</w:t>
      </w:r>
    </w:p>
    <w:p>
      <w:pPr>
        <w:pStyle w:val="TextBody"/>
        <w:spacing w:before="180" w:after="180"/>
        <w:rPr/>
      </w:pPr>
      <w:hyperlink r:id="rId6">
        <w:bookmarkStart w:id="69" w:name="apêndice"/>
        <w:bookmarkStart w:id="70" w:name="disponibilidade"/>
        <w:r>
          <w:rPr>
            <w:rStyle w:val="InternetLink"/>
          </w:rPr>
          <w:t>https://philsf-biostat.github.io/SAR-2022-033-SG/</w:t>
        </w:r>
      </w:hyperlink>
      <w:bookmarkEnd w:id="69"/>
      <w:bookmarkEnd w:id="70"/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quator-network.org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doi.org/10.1136/bmj.c332" TargetMode="External"/><Relationship Id="rId6" Type="http://schemas.openxmlformats.org/officeDocument/2006/relationships/hyperlink" Target="https://philsf-biostat.github.io/SAR-2022-033-S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LibreOffice/7.4.2.3$Linux_X86_64 LibreOffice_project/40$Build-3</Application>
  <AppVersion>15.0000</AppVersion>
  <Pages>5</Pages>
  <Words>809</Words>
  <Characters>4681</Characters>
  <CharactersWithSpaces>5438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2022-12-17T22:21:41Z</dcterms:created>
  <dc:creator>De: Felipe Figueiredo Para: Sidney Glina</dc:creator>
  <dc:description/>
  <dc:language>pt-BR</dc:language>
  <cp:lastModifiedBy/>
  <dcterms:modified xsi:type="dcterms:W3CDTF">2022-12-17T19:24:55Z</dcterms:modified>
  <cp:revision>2</cp:revision>
  <dc:subject/>
  <dc:title>Plano Analítico para Eficácia do enxerto Vivendi na correção de curvatura peniana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/>
  </property>
  <property fmtid="{D5CDD505-2E9C-101B-9397-08002B2CF9AE}" pid="4" name="subtitle">
    <vt:lpwstr>DOCUMENTO: SAP-2022-033-SG-v01</vt:lpwstr>
  </property>
  <property fmtid="{D5CDD505-2E9C-101B-9397-08002B2CF9AE}" pid="5" name="toc-title">
    <vt:lpwstr>Sumário</vt:lpwstr>
  </property>
</Properties>
</file>