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mortality rates after brain injury: retrospective cohort</w:t>
      </w:r>
    </w:p>
    <w:p>
      <w:pPr>
        <w:pStyle w:val="Subtitle"/>
        <w:rPr/>
      </w:pPr>
      <w:r>
        <w:rPr/>
        <w:t>DOCUMENT: SAP-2023-004-BH-v01</w:t>
      </w:r>
    </w:p>
    <w:p>
      <w:pPr>
        <w:pStyle w:val="Author"/>
        <w:rPr/>
      </w:pPr>
      <w:r>
        <w:rPr>
          <w:b/>
          <w:bCs/>
        </w:rPr>
        <w:t>From:</w:t>
      </w:r>
      <w:r>
        <w:rPr/>
        <w:t xml:space="preserve"> Felipe Figueiredo </w:t>
      </w:r>
      <w:r>
        <w:rPr>
          <w:b/>
          <w:bCs/>
        </w:rPr>
        <w:t>To:</w:t>
      </w:r>
      <w:r>
        <w:rPr/>
        <w:t xml:space="preserve"> Brennan Hickson</w:t>
      </w:r>
    </w:p>
    <w:p>
      <w:pPr>
        <w:pStyle w:val="Date"/>
        <w:rPr/>
      </w:pPr>
      <w:r>
        <w:rPr/>
        <w:t>2023-01-12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4868_372786337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870_372786337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4872_372786337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874_3727863378">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876_3727863378">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4878_3727863378">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880_3727863378">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882_3727863378">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884_3727863378">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886_3727863378">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888_3727863378">
            <w:r>
              <w:rPr>
                <w:webHidden/>
                <w:rStyle w:val="IndexLink"/>
              </w:rPr>
              <w:t xml:space="preserve"> </w:t>
            </w:r>
            <w:r>
              <w:rPr>
                <w:rStyle w:val="IndexLink"/>
              </w:rPr>
              <w:t>4.3  Exposures</w:t>
              <w:tab/>
              <w:t>4</w:t>
            </w:r>
          </w:hyperlink>
        </w:p>
        <w:p>
          <w:pPr>
            <w:pStyle w:val="Contents2"/>
            <w:tabs>
              <w:tab w:val="clear" w:pos="9077"/>
              <w:tab w:val="right" w:pos="9638" w:leader="dot"/>
            </w:tabs>
            <w:rPr/>
          </w:pPr>
          <w:hyperlink w:anchor="__RefHeading___Toc4890_3727863378">
            <w:r>
              <w:rPr>
                <w:webHidden/>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892_3727863378">
            <w:r>
              <w:rPr>
                <w:webHidden/>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894_3727863378">
            <w:r>
              <w:rPr>
                <w:webHidden/>
                <w:rStyle w:val="IndexLink"/>
              </w:rPr>
              <w:t xml:space="preserve"> </w:t>
            </w:r>
            <w:r>
              <w:rPr>
                <w:rStyle w:val="IndexLink"/>
              </w:rPr>
              <w:t>5  Statistical methods</w:t>
              <w:tab/>
              <w:t>5</w:t>
            </w:r>
          </w:hyperlink>
        </w:p>
        <w:p>
          <w:pPr>
            <w:pStyle w:val="Contents2"/>
            <w:tabs>
              <w:tab w:val="clear" w:pos="9077"/>
              <w:tab w:val="right" w:pos="9638" w:leader="dot"/>
            </w:tabs>
            <w:rPr/>
          </w:pPr>
          <w:hyperlink w:anchor="__RefHeading___Toc4896_3727863378">
            <w:r>
              <w:rPr>
                <w:webHidden/>
                <w:rStyle w:val="IndexLink"/>
              </w:rPr>
              <w:t xml:space="preserve"> </w:t>
            </w:r>
            <w:r>
              <w:rPr>
                <w:rStyle w:val="IndexLink"/>
              </w:rPr>
              <w:t>5.1  Statistical analyses</w:t>
              <w:tab/>
              <w:t>5</w:t>
            </w:r>
          </w:hyperlink>
        </w:p>
        <w:p>
          <w:pPr>
            <w:pStyle w:val="Contents3"/>
            <w:tabs>
              <w:tab w:val="clear" w:pos="8794"/>
              <w:tab w:val="right" w:pos="9638" w:leader="dot"/>
            </w:tabs>
            <w:rPr/>
          </w:pPr>
          <w:hyperlink w:anchor="__RefHeading___Toc4898_3727863378">
            <w:r>
              <w:rPr>
                <w:webHidden/>
                <w:rStyle w:val="IndexLink"/>
              </w:rPr>
              <w:t xml:space="preserve"> </w:t>
            </w:r>
            <w:r>
              <w:rPr>
                <w:rStyle w:val="IndexLink"/>
              </w:rPr>
              <w:t>5.1.1  Descriptive analyses</w:t>
              <w:tab/>
              <w:t>5</w:t>
            </w:r>
          </w:hyperlink>
        </w:p>
        <w:p>
          <w:pPr>
            <w:pStyle w:val="Contents3"/>
            <w:tabs>
              <w:tab w:val="clear" w:pos="8794"/>
              <w:tab w:val="right" w:pos="9638" w:leader="dot"/>
            </w:tabs>
            <w:rPr/>
          </w:pPr>
          <w:hyperlink w:anchor="__RefHeading___Toc4900_3727863378">
            <w:r>
              <w:rPr>
                <w:webHidden/>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902_3727863378">
            <w:r>
              <w:rPr>
                <w:webHidden/>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904_3727863378">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4906_3727863378">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908_3727863378">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4910_3727863378">
            <w:r>
              <w:rPr>
                <w:webHidden/>
                <w:rStyle w:val="IndexLink"/>
              </w:rPr>
              <w:t xml:space="preserve"> </w:t>
            </w:r>
            <w:r>
              <w:rPr>
                <w:rStyle w:val="IndexLink"/>
              </w:rPr>
              <w:t>5.4  Statistical packages</w:t>
              <w:tab/>
              <w:t>6</w:t>
            </w:r>
          </w:hyperlink>
        </w:p>
        <w:p>
          <w:pPr>
            <w:pStyle w:val="Contents1"/>
            <w:tabs>
              <w:tab w:val="clear" w:pos="9360"/>
              <w:tab w:val="right" w:pos="9638" w:leader="dot"/>
            </w:tabs>
            <w:rPr/>
          </w:pPr>
          <w:hyperlink w:anchor="__RefHeading___Toc4912_3727863378">
            <w:r>
              <w:rPr>
                <w:webHidden/>
                <w:rStyle w:val="IndexLink"/>
              </w:rPr>
              <w:t xml:space="preserve"> </w:t>
            </w:r>
            <w:r>
              <w:rPr>
                <w:rStyle w:val="IndexLink"/>
              </w:rPr>
              <w:t>6  Observations and limitations</w:t>
              <w:tab/>
              <w:t>6</w:t>
            </w:r>
          </w:hyperlink>
        </w:p>
        <w:p>
          <w:pPr>
            <w:pStyle w:val="Contents1"/>
            <w:tabs>
              <w:tab w:val="clear" w:pos="9360"/>
              <w:tab w:val="right" w:pos="9638" w:leader="dot"/>
            </w:tabs>
            <w:rPr/>
          </w:pPr>
          <w:hyperlink w:anchor="__RefHeading___Toc4914_3727863378">
            <w:r>
              <w:rPr>
                <w:webHidden/>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916_3727863378">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918_3727863378">
            <w:r>
              <w:rPr>
                <w:webHidden/>
                <w:rStyle w:val="IndexLink"/>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868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870_3727863378"/>
      <w:bookmarkEnd w:id="2"/>
      <w:r>
        <w:rPr/>
        <w:t>Context</w:t>
      </w:r>
    </w:p>
    <w:p>
      <w:pPr>
        <w:pStyle w:val="Heading2"/>
        <w:rPr/>
      </w:pPr>
      <w:bookmarkStart w:id="3" w:name="__RefHeading___Toc4872_3727863378"/>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874_3727863378"/>
      <w:bookmarkEnd w:id="5"/>
      <w:r>
        <w:rPr/>
        <w:t>Hypotheses</w:t>
      </w:r>
    </w:p>
    <w:p>
      <w:pPr>
        <w:pStyle w:val="FirstParagraph"/>
        <w:rPr/>
      </w:pPr>
      <w:bookmarkStart w:id="6" w:name="hypotheses"/>
      <w:bookmarkStart w:id="7" w:name="context"/>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876_3727863378"/>
      <w:bookmarkEnd w:id="8"/>
      <w:r>
        <w:rPr/>
        <w:t>Data</w:t>
      </w:r>
    </w:p>
    <w:p>
      <w:pPr>
        <w:pStyle w:val="Heading2"/>
        <w:rPr/>
      </w:pPr>
      <w:bookmarkStart w:id="9" w:name="__RefHeading___Toc4878_3727863378"/>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r>
        <w:rPr/>
        <w:t>Before joining the tables by zip code, the missing locations at discharged were assumed to not have changed since injury, and those values were used to fill missing zip data where available. To maximize the availability of SES data, this was also assumed for each follow up location, where the preferred information used was the zip code at discharge, when available.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880_3727863378"/>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analytical-dataset"/>
      <w:bookmarkStart w:id="13" w:name="data"/>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882_3727863378"/>
      <w:bookmarkEnd w:id="14"/>
      <w:r>
        <w:rPr/>
        <w:t>Study parameters</w:t>
      </w:r>
    </w:p>
    <w:p>
      <w:pPr>
        <w:pStyle w:val="Heading2"/>
        <w:rPr/>
      </w:pPr>
      <w:bookmarkStart w:id="15" w:name="__RefHeading___Toc4884_3727863378"/>
      <w:bookmarkEnd w:id="15"/>
      <w:r>
        <w:rPr/>
        <w:t>Study design</w:t>
      </w:r>
    </w:p>
    <w:p>
      <w:pPr>
        <w:pStyle w:val="FirstParagraph"/>
        <w:rPr/>
      </w:pPr>
      <w:bookmarkStart w:id="16" w:name="study-design"/>
      <w:r>
        <w:rPr/>
        <w:t>Retrospective cohort.</w:t>
      </w:r>
      <w:bookmarkEnd w:id="16"/>
    </w:p>
    <w:p>
      <w:pPr>
        <w:pStyle w:val="Heading2"/>
        <w:rPr/>
      </w:pPr>
      <w:bookmarkStart w:id="17" w:name="__RefHeading___Toc4886_3727863378"/>
      <w:bookmarkEnd w:id="17"/>
      <w:r>
        <w:rPr/>
        <w:t>Inclusion and exclusion criteria</w:t>
      </w:r>
    </w:p>
    <w:p>
      <w:pPr>
        <w:pStyle w:val="FirstParagraph"/>
        <w:rPr/>
      </w:pPr>
      <w:r>
        <w:rPr>
          <w:b/>
          <w:bCs/>
        </w:rPr>
        <w:t>Inclusion criteria</w:t>
      </w:r>
    </w:p>
    <w:p>
      <w:pPr>
        <w:pStyle w:val="Compact"/>
        <w:numPr>
          <w:ilvl w:val="0"/>
          <w:numId w:val="26"/>
        </w:numPr>
        <w:rPr/>
      </w:pPr>
      <w:r>
        <w:rPr/>
        <w:t>Participants with at most 10 years of follow up;</w:t>
      </w:r>
    </w:p>
    <w:p>
      <w:pPr>
        <w:pStyle w:val="Compact"/>
        <w:numPr>
          <w:ilvl w:val="0"/>
          <w:numId w:val="27"/>
        </w:numPr>
        <w:rPr/>
      </w:pPr>
      <w:r>
        <w:rPr/>
        <w:t>Participants included in the cohort between 2010-01-01 and 2018-12-31.</w:t>
      </w:r>
    </w:p>
    <w:p>
      <w:pPr>
        <w:pStyle w:val="FirstParagraph"/>
        <w:rPr/>
      </w:pPr>
      <w:r>
        <w:rPr>
          <w:b/>
          <w:bCs/>
        </w:rPr>
        <w:t>Exclusion criteria</w:t>
      </w:r>
    </w:p>
    <w:p>
      <w:pPr>
        <w:pStyle w:val="TextBody"/>
        <w:rPr/>
      </w:pPr>
      <w:bookmarkStart w:id="18"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18"/>
    </w:p>
    <w:p>
      <w:pPr>
        <w:pStyle w:val="Heading2"/>
        <w:rPr/>
      </w:pPr>
      <w:bookmarkStart w:id="19" w:name="__RefHeading___Toc4888_3727863378"/>
      <w:bookmarkEnd w:id="19"/>
      <w:r>
        <w:rPr/>
        <w:t>Exposures</w:t>
      </w:r>
    </w:p>
    <w:p>
      <w:pPr>
        <w:pStyle w:val="FirstParagraph"/>
        <w:rPr/>
      </w:pPr>
      <w:bookmarkStart w:id="20" w:name="exposures"/>
      <w:r>
        <w:rPr/>
        <w:t>SES of the neighborhood to which the participant was discharged. The SES measure was stratified into its quintiles, and labelled according to the data dictionary to facilitate interpretation of the results.</w:t>
      </w:r>
      <w:bookmarkEnd w:id="20"/>
    </w:p>
    <w:p>
      <w:pPr>
        <w:pStyle w:val="Heading2"/>
        <w:rPr/>
      </w:pPr>
      <w:bookmarkStart w:id="21" w:name="__RefHeading___Toc4890_3727863378"/>
      <w:bookmarkEnd w:id="21"/>
      <w:r>
        <w:rPr/>
        <w:t>Outcomes</w:t>
      </w:r>
    </w:p>
    <w:p>
      <w:pPr>
        <w:pStyle w:val="FirstParagraph"/>
        <w:rPr/>
      </w:pPr>
      <w:r>
        <w:rPr>
          <w:b/>
          <w:bCs/>
        </w:rPr>
        <w:t>Specification of outcome measures</w:t>
      </w:r>
      <w:r>
        <w:rPr/>
        <w:t xml:space="preserve"> (Zarin, 2011):</w:t>
      </w:r>
    </w:p>
    <w:p>
      <w:pPr>
        <w:pStyle w:val="Compact"/>
        <w:numPr>
          <w:ilvl w:val="0"/>
          <w:numId w:val="28"/>
        </w:numPr>
        <w:rPr/>
      </w:pPr>
      <w:r>
        <w:rPr/>
        <w:t>(Domain) Mortality</w:t>
      </w:r>
    </w:p>
    <w:p>
      <w:pPr>
        <w:pStyle w:val="Compact"/>
        <w:numPr>
          <w:ilvl w:val="0"/>
          <w:numId w:val="29"/>
        </w:numPr>
        <w:rPr/>
      </w:pPr>
      <w:r>
        <w:rPr/>
        <w:t>(Specific measurement) Death</w:t>
      </w:r>
    </w:p>
    <w:p>
      <w:pPr>
        <w:pStyle w:val="Compact"/>
        <w:numPr>
          <w:ilvl w:val="0"/>
          <w:numId w:val="30"/>
        </w:numPr>
        <w:rPr/>
      </w:pPr>
      <w:r>
        <w:rPr/>
        <w:t>(Specific metric) Time-to-event</w:t>
      </w:r>
    </w:p>
    <w:p>
      <w:pPr>
        <w:pStyle w:val="Compact"/>
        <w:numPr>
          <w:ilvl w:val="0"/>
          <w:numId w:val="31"/>
        </w:numPr>
        <w:rPr/>
      </w:pPr>
      <w:r>
        <w:rPr/>
        <w:t>(Method of aggregation) Hazard ratio</w:t>
      </w:r>
    </w:p>
    <w:p>
      <w:pPr>
        <w:pStyle w:val="FirstParagraph"/>
        <w:rPr/>
      </w:pPr>
      <w:r>
        <w:rPr>
          <w:b/>
          <w:bCs/>
        </w:rPr>
        <w:t>Primary outcome</w:t>
      </w:r>
    </w:p>
    <w:p>
      <w:pPr>
        <w:pStyle w:val="TextBody"/>
        <w:rPr/>
      </w:pPr>
      <w:bookmarkStart w:id="22" w:name="outcomes"/>
      <w:r>
        <w:rPr/>
        <w:t>Death after a brain injury.</w:t>
      </w:r>
      <w:bookmarkEnd w:id="22"/>
    </w:p>
    <w:p>
      <w:pPr>
        <w:pStyle w:val="Heading2"/>
        <w:rPr/>
      </w:pPr>
      <w:bookmarkStart w:id="23" w:name="__RefHeading___Toc4892_3727863378"/>
      <w:bookmarkEnd w:id="23"/>
      <w:r>
        <w:rPr/>
        <w:t>Covariates</w:t>
      </w:r>
    </w:p>
    <w:p>
      <w:pPr>
        <w:pStyle w:val="Compact"/>
        <w:numPr>
          <w:ilvl w:val="0"/>
          <w:numId w:val="32"/>
        </w:numPr>
        <w:rPr/>
      </w:pPr>
      <w:r>
        <w:rPr/>
        <w:t>Sex</w:t>
      </w:r>
    </w:p>
    <w:p>
      <w:pPr>
        <w:pStyle w:val="Compact"/>
        <w:numPr>
          <w:ilvl w:val="0"/>
          <w:numId w:val="33"/>
        </w:numPr>
        <w:rPr/>
      </w:pPr>
      <w:r>
        <w:rPr/>
        <w:t>Race</w:t>
      </w:r>
    </w:p>
    <w:p>
      <w:pPr>
        <w:pStyle w:val="Compact"/>
        <w:numPr>
          <w:ilvl w:val="0"/>
          <w:numId w:val="34"/>
        </w:numPr>
        <w:rPr/>
      </w:pPr>
      <w:r>
        <w:rPr/>
        <w:t>Age at injury</w:t>
      </w:r>
    </w:p>
    <w:p>
      <w:pPr>
        <w:pStyle w:val="Compact"/>
        <w:numPr>
          <w:ilvl w:val="0"/>
          <w:numId w:val="35"/>
        </w:numPr>
        <w:rPr/>
      </w:pPr>
      <w:r>
        <w:rPr/>
        <w:t>Substance Problem Use</w:t>
      </w:r>
    </w:p>
    <w:p>
      <w:pPr>
        <w:pStyle w:val="Compact"/>
        <w:numPr>
          <w:ilvl w:val="0"/>
          <w:numId w:val="36"/>
        </w:numPr>
        <w:rPr/>
      </w:pPr>
      <w:r>
        <w:rPr/>
        <w:t>Education</w:t>
      </w:r>
    </w:p>
    <w:p>
      <w:pPr>
        <w:pStyle w:val="Compact"/>
        <w:numPr>
          <w:ilvl w:val="0"/>
          <w:numId w:val="37"/>
        </w:numPr>
        <w:rPr/>
      </w:pPr>
      <w:r>
        <w:rPr/>
        <w:t>Employment status</w:t>
      </w:r>
    </w:p>
    <w:p>
      <w:pPr>
        <w:pStyle w:val="Compact"/>
        <w:numPr>
          <w:ilvl w:val="0"/>
          <w:numId w:val="38"/>
        </w:numPr>
        <w:rPr/>
      </w:pPr>
      <w:r>
        <w:rPr/>
        <w:t>Rural area</w:t>
      </w:r>
    </w:p>
    <w:p>
      <w:pPr>
        <w:pStyle w:val="Compact"/>
        <w:numPr>
          <w:ilvl w:val="0"/>
          <w:numId w:val="39"/>
        </w:numPr>
        <w:rPr/>
      </w:pPr>
      <w:r>
        <w:rPr/>
        <w:t>Previous seizure disorder diagnosis</w:t>
      </w:r>
    </w:p>
    <w:p>
      <w:pPr>
        <w:pStyle w:val="Compact"/>
        <w:numPr>
          <w:ilvl w:val="0"/>
          <w:numId w:val="40"/>
        </w:numPr>
        <w:rPr/>
      </w:pPr>
      <w:r>
        <w:rPr/>
        <w:t>Spinal cord injury</w:t>
      </w:r>
    </w:p>
    <w:p>
      <w:pPr>
        <w:pStyle w:val="Compact"/>
        <w:numPr>
          <w:ilvl w:val="0"/>
          <w:numId w:val="41"/>
        </w:numPr>
        <w:rPr/>
      </w:pPr>
      <w:r>
        <w:rPr/>
        <w:t>Cause of injury</w:t>
      </w:r>
    </w:p>
    <w:p>
      <w:pPr>
        <w:pStyle w:val="Compact"/>
        <w:numPr>
          <w:ilvl w:val="0"/>
          <w:numId w:val="42"/>
        </w:numPr>
        <w:rPr/>
      </w:pPr>
      <w:r>
        <w:rPr/>
        <w:t>Primary rehabilitation payer</w:t>
      </w:r>
    </w:p>
    <w:p>
      <w:pPr>
        <w:pStyle w:val="Compact"/>
        <w:numPr>
          <w:ilvl w:val="0"/>
          <w:numId w:val="43"/>
        </w:numPr>
        <w:rPr/>
      </w:pPr>
      <w:r>
        <w:rPr/>
        <w:t>Residence after rehab discharge</w:t>
      </w:r>
    </w:p>
    <w:p>
      <w:pPr>
        <w:pStyle w:val="Compact"/>
        <w:numPr>
          <w:ilvl w:val="0"/>
          <w:numId w:val="44"/>
        </w:numPr>
        <w:rPr/>
      </w:pPr>
      <w:r>
        <w:rPr/>
        <w:t>Days From Injury to Rehab Discharge</w:t>
      </w:r>
    </w:p>
    <w:p>
      <w:pPr>
        <w:pStyle w:val="Compact"/>
        <w:numPr>
          <w:ilvl w:val="0"/>
          <w:numId w:val="45"/>
        </w:numPr>
        <w:rPr/>
      </w:pPr>
      <w:r>
        <w:rPr/>
        <w:t>FIM Motor at Discharge</w:t>
      </w:r>
    </w:p>
    <w:p>
      <w:pPr>
        <w:pStyle w:val="Compact"/>
        <w:numPr>
          <w:ilvl w:val="0"/>
          <w:numId w:val="46"/>
        </w:numPr>
        <w:rPr/>
      </w:pPr>
      <w:bookmarkStart w:id="24" w:name="covariates"/>
      <w:bookmarkStart w:id="25" w:name="study-parameters"/>
      <w:r>
        <w:rPr/>
        <w:t>FIM Cognitive at Discharge</w:t>
      </w:r>
      <w:bookmarkEnd w:id="24"/>
      <w:bookmarkEnd w:id="25"/>
    </w:p>
    <w:p>
      <w:pPr>
        <w:pStyle w:val="Heading1"/>
        <w:rPr/>
      </w:pPr>
      <w:bookmarkStart w:id="26" w:name="__RefHeading___Toc4894_3727863378"/>
      <w:bookmarkStart w:id="27" w:name="statistical-methods"/>
      <w:bookmarkEnd w:id="26"/>
      <w:r>
        <w:rPr/>
        <w:t>Statistical methods</w:t>
      </w:r>
    </w:p>
    <w:p>
      <w:pPr>
        <w:pStyle w:val="Heading2"/>
        <w:rPr/>
      </w:pPr>
      <w:bookmarkStart w:id="28" w:name="__RefHeading___Toc4896_3727863378"/>
      <w:bookmarkEnd w:id="28"/>
      <w:r>
        <w:rPr/>
        <w:t>Statistical analyses</w:t>
      </w:r>
    </w:p>
    <w:p>
      <w:pPr>
        <w:pStyle w:val="Heading3"/>
        <w:rPr/>
      </w:pPr>
      <w:bookmarkStart w:id="29" w:name="__RefHeading___Toc4898_3727863378"/>
      <w:bookmarkEnd w:id="29"/>
      <w:r>
        <w:rPr/>
        <w:t>Descriptive analyses</w:t>
      </w:r>
    </w:p>
    <w:p>
      <w:pPr>
        <w:pStyle w:val="FirstParagraph"/>
        <w:rPr/>
      </w:pPr>
      <w:bookmarkStart w:id="30"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4900_3727863378"/>
      <w:bookmarkEnd w:id="31"/>
      <w:r>
        <w:rPr/>
        <w:t>Inferential analyses</w:t>
      </w:r>
    </w:p>
    <w:p>
      <w:pPr>
        <w:pStyle w:val="FirstParagraph"/>
        <w:rPr/>
      </w:pPr>
      <w:bookmarkStart w:id="32" w:name="inferential-analyses"/>
      <w:r>
        <w:rPr/>
        <w:t>All inferential analyses will be performed in the statistical models (described in the next section).</w:t>
      </w:r>
      <w:bookmarkEnd w:id="32"/>
    </w:p>
    <w:p>
      <w:pPr>
        <w:pStyle w:val="Heading3"/>
        <w:rPr/>
      </w:pPr>
      <w:bookmarkStart w:id="33" w:name="__RefHeading___Toc4902_3727863378"/>
      <w:bookmarkEnd w:id="33"/>
      <w:r>
        <w:rPr/>
        <w:t>Statistical modeling</w:t>
      </w:r>
    </w:p>
    <w:p>
      <w:pPr>
        <w:pStyle w:val="FirstParagraph"/>
        <w:rPr/>
      </w:pPr>
      <w:bookmarkStart w:id="34"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34"/>
    </w:p>
    <w:p>
      <w:pPr>
        <w:pStyle w:val="Heading3"/>
        <w:rPr/>
      </w:pPr>
      <w:bookmarkStart w:id="35" w:name="__RefHeading___Toc4904_3727863378"/>
      <w:bookmarkEnd w:id="35"/>
      <w:r>
        <w:rPr/>
        <w:t>Missing data</w:t>
      </w:r>
    </w:p>
    <w:p>
      <w:pPr>
        <w:pStyle w:val="FirstParagraph"/>
        <w:rPr/>
      </w:pPr>
      <w:bookmarkStart w:id="36" w:name="missing-data"/>
      <w:bookmarkStart w:id="37" w:name="statistical-analyses"/>
      <w:r>
        <w:rPr/>
        <w:t>No missing data imputation will be performed. All evaluations will be performed as complete case analyses. Missing data counts and proportions will be reported in tables.</w:t>
      </w:r>
      <w:bookmarkEnd w:id="36"/>
      <w:bookmarkEnd w:id="37"/>
    </w:p>
    <w:p>
      <w:pPr>
        <w:pStyle w:val="Heading2"/>
        <w:rPr/>
      </w:pPr>
      <w:bookmarkStart w:id="38" w:name="__RefHeading___Toc4906_3727863378"/>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4908_3727863378"/>
      <w:bookmarkEnd w:id="40"/>
      <w:r>
        <w:rPr/>
        <w:t>Study size and Power</w:t>
      </w:r>
    </w:p>
    <w:p>
      <w:pPr>
        <w:pStyle w:val="FirstParagraph"/>
        <w:rPr/>
      </w:pPr>
      <w:bookmarkStart w:id="41" w:name="study-size-and-power"/>
      <w:r>
        <w:rPr/>
        <w:t>N/A</w:t>
      </w:r>
      <w:bookmarkEnd w:id="41"/>
    </w:p>
    <w:p>
      <w:pPr>
        <w:pStyle w:val="Heading2"/>
        <w:rPr/>
      </w:pPr>
      <w:bookmarkStart w:id="42" w:name="__RefHeading___Toc4910_3727863378"/>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rPr/>
      </w:pPr>
      <w:bookmarkStart w:id="44" w:name="__RefHeading___Toc4912_3727863378"/>
      <w:bookmarkStart w:id="45" w:name="observations-and-limitations"/>
      <w:bookmarkEnd w:id="4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5"/>
    </w:p>
    <w:p>
      <w:pPr>
        <w:pStyle w:val="Heading1"/>
        <w:rPr/>
      </w:pPr>
      <w:bookmarkStart w:id="46" w:name="__RefHeading___Toc4914_3727863378"/>
      <w:bookmarkStart w:id="47" w:name="references"/>
      <w:bookmarkEnd w:id="46"/>
      <w:r>
        <w:rPr/>
        <w:t>References</w:t>
      </w:r>
    </w:p>
    <w:p>
      <w:pPr>
        <w:pStyle w:val="Compact"/>
        <w:numPr>
          <w:ilvl w:val="0"/>
          <w:numId w:val="47"/>
        </w:numPr>
        <w:rPr/>
      </w:pPr>
      <w:r>
        <w:rPr>
          <w:b/>
          <w:bCs/>
        </w:rPr>
        <w:t>SAR-2023-004-BH-v01</w:t>
      </w:r>
      <w:r>
        <w:rPr/>
        <w:t xml:space="preserve"> – Effect of socioeconomic status of neighborhoods in mortality mortality rates after brain injury: retrospective cohort </w:t>
      </w:r>
    </w:p>
    <w:p>
      <w:pPr>
        <w:pStyle w:val="Compact"/>
        <w:numPr>
          <w:ilvl w:val="0"/>
          <w:numId w:val="48"/>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49"/>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0"/>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47"/>
    </w:p>
    <w:p>
      <w:pPr>
        <w:pStyle w:val="Heading1"/>
        <w:rPr/>
      </w:pPr>
      <w:bookmarkStart w:id="48" w:name="__RefHeading___Toc4916_3727863378"/>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4918_3727863378"/>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50" w:name="availability"/>
        <w:bookmarkStart w:id="51" w:name="appendix"/>
        <w:r>
          <w:rPr>
            <w:rStyle w:val="InternetLink"/>
          </w:rPr>
          <w:t>https://philsf-biostat.github.io/SAR-2023-004-BH/</w:t>
        </w:r>
      </w:hyperlink>
      <w:bookmarkEnd w:id="50"/>
      <w:bookmarkEnd w:id="51"/>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
  </w:num>
  <w:num w:numId="27">
    <w:abstractNumId w:val="2"/>
  </w:num>
  <w:num w:numId="28">
    <w:abstractNumId w:val="6"/>
    <w:lvlOverride w:ilvl="0">
      <w:startOverride w:val="1"/>
    </w:lvlOverride>
  </w:num>
  <w:num w:numId="29">
    <w:abstractNumId w:val="6"/>
  </w:num>
  <w:num w:numId="30">
    <w:abstractNumId w:val="6"/>
  </w:num>
  <w:num w:numId="31">
    <w:abstractNumId w:val="6"/>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LibreOffice/7.5.0.3$Linux_X86_64 LibreOffice_project/50$Build-3</Application>
  <AppVersion>15.0000</AppVersion>
  <Pages>6</Pages>
  <Words>1208</Words>
  <Characters>6923</Characters>
  <CharactersWithSpaces>8052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2023-02-24T17:49:29Z</dcterms:created>
  <dc:creator>From: Felipe Figueiredo To: Brennan Hickson</dc:creator>
  <dc:description/>
  <dc:language>pt-BR</dc:language>
  <cp:lastModifiedBy/>
  <dcterms:modified xsi:type="dcterms:W3CDTF">2023-02-24T15:06:34Z</dcterms:modified>
  <cp:revision>4</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