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Effect of socioeconomic status of neighborhoods in mortality mortality rates after brain injury: cohort study</w:t>
      </w:r>
    </w:p>
    <w:p>
      <w:pPr>
        <w:pStyle w:val="Subtitle"/>
        <w:rPr/>
      </w:pPr>
      <w:r>
        <w:rPr/>
        <w:t>DOCUMENT: SAP-2023-004-BH-v02</w:t>
      </w:r>
    </w:p>
    <w:p>
      <w:pPr>
        <w:pStyle w:val="Author"/>
        <w:rPr/>
      </w:pPr>
      <w:r>
        <w:rPr>
          <w:b/>
          <w:bCs/>
        </w:rPr>
        <w:t>From:</w:t>
      </w:r>
      <w:r>
        <w:rPr/>
        <w:t xml:space="preserve"> Felipe Figueiredo </w:t>
      </w:r>
      <w:r>
        <w:rPr>
          <w:b/>
          <w:bCs/>
        </w:rPr>
        <w:t>To:</w:t>
      </w:r>
      <w:r>
        <w:rPr/>
        <w:t xml:space="preserve"> Brennan Hickson</w:t>
      </w:r>
    </w:p>
    <w:p>
      <w:pPr>
        <w:pStyle w:val="Date"/>
        <w:rPr/>
      </w:pPr>
      <w:r>
        <w:rPr/>
        <w:t>2023-04-21</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rStyle w:val="IndexLink"/>
            </w:rPr>
            <w:instrText xml:space="preserve"> TOC \o "1-3" \h</w:instrText>
          </w:r>
          <w:r>
            <w:rPr>
              <w:rStyle w:val="IndexLink"/>
            </w:rPr>
            <w:fldChar w:fldCharType="separate"/>
          </w:r>
          <w:hyperlink w:anchor="__RefHeading___Toc4868_3727863378">
            <w:r>
              <w:rPr>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4870_3727863378">
            <w:r>
              <w:rPr>
                <w:rStyle w:val="IndexLink"/>
              </w:rPr>
              <w:t xml:space="preserve"> </w:t>
            </w:r>
            <w:r>
              <w:rPr>
                <w:rStyle w:val="IndexLink"/>
              </w:rPr>
              <w:t>2 Context</w:t>
              <w:tab/>
              <w:t>2</w:t>
            </w:r>
          </w:hyperlink>
        </w:p>
        <w:p>
          <w:pPr>
            <w:pStyle w:val="Contents2"/>
            <w:tabs>
              <w:tab w:val="clear" w:pos="9077"/>
              <w:tab w:val="right" w:pos="9638" w:leader="dot"/>
            </w:tabs>
            <w:rPr/>
          </w:pPr>
          <w:hyperlink w:anchor="__RefHeading___Toc4872_3727863378">
            <w:r>
              <w:rPr>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4874_3727863378">
            <w:r>
              <w:rPr>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4876_3727863378">
            <w:r>
              <w:rPr>
                <w:rStyle w:val="IndexLink"/>
              </w:rPr>
              <w:t xml:space="preserve"> </w:t>
            </w:r>
            <w:r>
              <w:rPr>
                <w:rStyle w:val="IndexLink"/>
              </w:rPr>
              <w:t>3 Data</w:t>
              <w:tab/>
              <w:t>2</w:t>
            </w:r>
          </w:hyperlink>
        </w:p>
        <w:p>
          <w:pPr>
            <w:pStyle w:val="Contents2"/>
            <w:tabs>
              <w:tab w:val="clear" w:pos="9077"/>
              <w:tab w:val="right" w:pos="9638" w:leader="dot"/>
            </w:tabs>
            <w:rPr/>
          </w:pPr>
          <w:hyperlink w:anchor="__RefHeading___Toc4878_3727863378">
            <w:r>
              <w:rPr>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4880_3727863378">
            <w:r>
              <w:rPr>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4882_3727863378">
            <w:r>
              <w:rPr>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4884_3727863378">
            <w:r>
              <w:rPr>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4886_3727863378">
            <w:r>
              <w:rPr>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888_3727863378">
            <w:r>
              <w:rPr>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4890_3727863378">
            <w:r>
              <w:rPr>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4892_3727863378">
            <w:r>
              <w:rPr>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4894_3727863378">
            <w:r>
              <w:rPr>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4896_3727863378">
            <w:r>
              <w:rPr>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4898_3727863378">
            <w:r>
              <w:rPr>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4900_3727863378">
            <w:r>
              <w:rPr>
                <w:rStyle w:val="IndexLink"/>
              </w:rPr>
              <w:t xml:space="preserve"> </w:t>
            </w:r>
            <w:r>
              <w:rPr>
                <w:rStyle w:val="IndexLink"/>
              </w:rPr>
              <w:t>5.1.2 Inferential analyses</w:t>
              <w:tab/>
              <w:t>5</w:t>
            </w:r>
          </w:hyperlink>
        </w:p>
        <w:p>
          <w:pPr>
            <w:pStyle w:val="Contents3"/>
            <w:tabs>
              <w:tab w:val="clear" w:pos="8794"/>
              <w:tab w:val="right" w:pos="9638" w:leader="dot"/>
            </w:tabs>
            <w:rPr/>
          </w:pPr>
          <w:hyperlink w:anchor="__RefHeading___Toc4902_3727863378">
            <w:r>
              <w:rPr>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4904_3727863378">
            <w:r>
              <w:rPr>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4906_3727863378">
            <w:r>
              <w:rPr>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4908_3727863378">
            <w:r>
              <w:rPr>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4910_3727863378">
            <w:r>
              <w:rPr>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4912_3727863378">
            <w:r>
              <w:rPr>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4914_3727863378">
            <w:r>
              <w:rPr>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4916_3727863378">
            <w:r>
              <w:rPr>
                <w:rStyle w:val="IndexLink"/>
              </w:rPr>
              <w:t xml:space="preserve"> </w:t>
            </w:r>
            <w:r>
              <w:rPr>
                <w:rStyle w:val="IndexLink"/>
              </w:rPr>
              <w:t>8 Appendix</w:t>
              <w:tab/>
              <w:t>6</w:t>
            </w:r>
          </w:hyperlink>
        </w:p>
        <w:p>
          <w:pPr>
            <w:pStyle w:val="Contents2"/>
            <w:tabs>
              <w:tab w:val="clear" w:pos="9077"/>
              <w:tab w:val="right" w:pos="9638" w:leader="dot"/>
            </w:tabs>
            <w:rPr/>
          </w:pPr>
          <w:hyperlink w:anchor="__RefHeading___Toc4918_3727863378">
            <w:r>
              <w:rPr>
                <w:rStyle w:val="IndexLink"/>
              </w:rPr>
              <w:t xml:space="preserve"> </w:t>
            </w:r>
            <w:r>
              <w:rPr>
                <w:rStyle w:val="IndexLink"/>
              </w:rPr>
              <w:t>8.1 Availability</w:t>
              <w:tab/>
              <w:t>6</w:t>
            </w:r>
          </w:hyperlink>
        </w:p>
        <w:p>
          <w:pPr>
            <w:pStyle w:val="Contents2"/>
            <w:tabs>
              <w:tab w:val="clear" w:pos="9077"/>
              <w:tab w:val="right" w:pos="9638" w:leader="dot"/>
            </w:tabs>
            <w:rPr/>
          </w:pPr>
          <w:hyperlink w:anchor="__RefHeading___Toc482_3733959334">
            <w:r>
              <w:rPr>
                <w:rStyle w:val="IndexLink"/>
              </w:rPr>
              <w:t xml:space="preserve"> </w:t>
            </w:r>
            <w:r>
              <w:rPr>
                <w:rStyle w:val="IndexLink"/>
              </w:rPr>
              <w:t>8.2 Associated analyses</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Effect of socioeconomic status of neighborhoods in mortality mortality rates after brain injury: cohort study</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4868_3727863378"/>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4870_3727863378"/>
      <w:bookmarkEnd w:id="2"/>
      <w:r>
        <w:rPr/>
        <w:t>Context</w:t>
      </w:r>
    </w:p>
    <w:p>
      <w:pPr>
        <w:pStyle w:val="Heading2"/>
        <w:rPr/>
      </w:pPr>
      <w:bookmarkStart w:id="3" w:name="__RefHeading___Toc4872_3727863378"/>
      <w:bookmarkEnd w:id="3"/>
      <w:r>
        <w:rPr/>
        <w:t>Objectives</w:t>
      </w:r>
    </w:p>
    <w:p>
      <w:pPr>
        <w:pStyle w:val="FirstParagraph"/>
        <w:rPr/>
      </w:pPr>
      <w:bookmarkStart w:id="4" w:name="objectives"/>
      <w:r>
        <w:rPr/>
        <w:t>To determine the effect of socioeconomic status of the neighborhood on mortality of patients with brain injury.</w:t>
      </w:r>
      <w:bookmarkEnd w:id="4"/>
    </w:p>
    <w:p>
      <w:pPr>
        <w:pStyle w:val="Heading2"/>
        <w:rPr/>
      </w:pPr>
      <w:bookmarkStart w:id="5" w:name="__RefHeading___Toc4874_3727863378"/>
      <w:bookmarkEnd w:id="5"/>
      <w:r>
        <w:rPr/>
        <w:t>Hypotheses</w:t>
      </w:r>
    </w:p>
    <w:p>
      <w:pPr>
        <w:pStyle w:val="FirstParagraph"/>
        <w:rPr/>
      </w:pPr>
      <w:bookmarkStart w:id="6" w:name="hypotheses"/>
      <w:bookmarkStart w:id="7" w:name="context"/>
      <w:r>
        <w:rPr/>
        <w:t>The neighborhood to which an individual is discharged from acute care affects the mortality rates of individuals that suffered a brain injury.</w:t>
      </w:r>
      <w:bookmarkEnd w:id="6"/>
      <w:bookmarkEnd w:id="7"/>
    </w:p>
    <w:p>
      <w:pPr>
        <w:pStyle w:val="Heading1"/>
        <w:rPr/>
      </w:pPr>
      <w:bookmarkStart w:id="8" w:name="__RefHeading___Toc4876_3727863378"/>
      <w:bookmarkEnd w:id="8"/>
      <w:r>
        <w:rPr/>
        <w:t>Data</w:t>
      </w:r>
    </w:p>
    <w:p>
      <w:pPr>
        <w:pStyle w:val="Heading2"/>
        <w:rPr/>
      </w:pPr>
      <w:bookmarkStart w:id="9" w:name="__RefHeading___Toc4878_3727863378"/>
      <w:bookmarkEnd w:id="9"/>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bookmarkStart w:id="10" w:name="raw-data"/>
      <w:r>
        <w:rPr/>
        <w:t>The original data base had 711 variables collected on 76665 observations from 19303 individuals.</w:t>
      </w:r>
      <w:bookmarkEnd w:id="10"/>
    </w:p>
    <w:p>
      <w:pPr>
        <w:pStyle w:val="Heading2"/>
        <w:rPr/>
      </w:pPr>
      <w:bookmarkStart w:id="11" w:name="__RefHeading___Toc4880_3727863378"/>
      <w:bookmarkEnd w:id="11"/>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w:t>
      </w:r>
    </w:p>
    <w:p>
      <w:pPr>
        <w:pStyle w:val="TextBody"/>
        <w:rPr/>
      </w:pPr>
      <w:r>
        <w:rPr/>
        <w:t xml:space="preserve">After the cleaning process 20 variables were included in the analysis. The total number of observations excluded due to incompleteness and exclusion criteria will be reported in the analysis. </w:t>
      </w:r>
    </w:p>
    <w:p>
      <w:pPr>
        <w:pStyle w:val="TextBody"/>
        <w:rPr/>
      </w:pPr>
      <w:bookmarkStart w:id="12" w:name="analytical-dataset"/>
      <w:bookmarkStart w:id="13" w:name="data"/>
      <w:r>
        <w:rPr/>
        <w:t>All variables in the analytical set were labeled according to the raw data provided and values were labeled according to the data dictionary for the preparation of production-quality results tables and figures.</w:t>
      </w:r>
      <w:bookmarkEnd w:id="12"/>
      <w:bookmarkEnd w:id="13"/>
    </w:p>
    <w:p>
      <w:pPr>
        <w:pStyle w:val="Heading1"/>
        <w:rPr/>
      </w:pPr>
      <w:bookmarkStart w:id="14" w:name="__RefHeading___Toc4882_3727863378"/>
      <w:bookmarkEnd w:id="14"/>
      <w:r>
        <w:rPr/>
        <w:t>Study parameters</w:t>
      </w:r>
    </w:p>
    <w:p>
      <w:pPr>
        <w:pStyle w:val="Heading2"/>
        <w:rPr/>
      </w:pPr>
      <w:bookmarkStart w:id="15" w:name="__RefHeading___Toc4884_3727863378"/>
      <w:bookmarkEnd w:id="15"/>
      <w:r>
        <w:rPr/>
        <w:t>Study design</w:t>
      </w:r>
    </w:p>
    <w:p>
      <w:pPr>
        <w:pStyle w:val="FirstParagraph"/>
        <w:rPr/>
      </w:pPr>
      <w:r>
        <w:rPr/>
        <w:t>This is a retrospective analysis of a prospective cohort study.</w:t>
      </w:r>
    </w:p>
    <w:p>
      <w:pPr>
        <w:pStyle w:val="Heading2"/>
        <w:rPr/>
      </w:pPr>
      <w:bookmarkStart w:id="16" w:name="__RefHeading___Toc4886_3727863378"/>
      <w:bookmarkEnd w:id="16"/>
      <w:r>
        <w:rPr/>
        <w:t>Inclusion and exclusion criteria</w:t>
      </w:r>
    </w:p>
    <w:p>
      <w:pPr>
        <w:pStyle w:val="FirstParagraph"/>
        <w:rPr/>
      </w:pPr>
      <w:r>
        <w:rPr>
          <w:b/>
          <w:bCs/>
        </w:rPr>
        <w:t>Inclusion criteria</w:t>
      </w:r>
    </w:p>
    <w:p>
      <w:pPr>
        <w:pStyle w:val="Compact"/>
        <w:numPr>
          <w:ilvl w:val="0"/>
          <w:numId w:val="28"/>
        </w:numPr>
        <w:rPr/>
      </w:pPr>
      <w:r>
        <w:rPr/>
        <w:t>Participants with at most 10 years of follow up;</w:t>
      </w:r>
    </w:p>
    <w:p>
      <w:pPr>
        <w:pStyle w:val="Compact"/>
        <w:numPr>
          <w:ilvl w:val="0"/>
          <w:numId w:val="29"/>
        </w:numPr>
        <w:rPr/>
      </w:pPr>
      <w:r>
        <w:rPr/>
        <w:t>Participants included in the cohort between 2010-01-01 and 2018-12-31.</w:t>
      </w:r>
    </w:p>
    <w:p>
      <w:pPr>
        <w:pStyle w:val="FirstParagraph"/>
        <w:rPr/>
      </w:pPr>
      <w:r>
        <w:rPr>
          <w:b/>
          <w:bCs/>
        </w:rPr>
        <w:t>Exclusion criteria</w:t>
      </w:r>
    </w:p>
    <w:p>
      <w:pPr>
        <w:pStyle w:val="TextBody"/>
        <w:rPr/>
      </w:pPr>
      <w:bookmarkStart w:id="17" w:name="inclusion-and-exclusion-criteria"/>
      <w:r>
        <w:rPr/>
        <w:t>Observations after 2019-12-31 will be excluded in order to mitigate risk of confounding by COVID-19 related deaths. Observations prior to this date will still be considered for participants where such data is available.</w:t>
      </w:r>
      <w:bookmarkEnd w:id="17"/>
    </w:p>
    <w:p>
      <w:pPr>
        <w:pStyle w:val="Heading2"/>
        <w:rPr/>
      </w:pPr>
      <w:bookmarkStart w:id="18" w:name="__RefHeading___Toc4888_3727863378"/>
      <w:bookmarkEnd w:id="18"/>
      <w:r>
        <w:rPr/>
        <w:t>Exposures</w:t>
      </w:r>
    </w:p>
    <w:p>
      <w:pPr>
        <w:pStyle w:val="FirstParagraph"/>
        <w:rPr/>
      </w:pPr>
      <w:bookmarkStart w:id="19" w:name="exposures"/>
      <w:r>
        <w:rPr/>
        <w:t>SES of the neighborhood to which the participant was discharged. The SES measure was stratified into its quintiles, and labeled according to the data dictionary to facilitate interpretation of the results.</w:t>
      </w:r>
      <w:bookmarkEnd w:id="19"/>
    </w:p>
    <w:p>
      <w:pPr>
        <w:pStyle w:val="Heading2"/>
        <w:rPr/>
      </w:pPr>
      <w:bookmarkStart w:id="20" w:name="__RefHeading___Toc4890_3727863378"/>
      <w:bookmarkEnd w:id="20"/>
      <w:r>
        <w:rPr/>
        <w:t>Outcomes</w:t>
      </w:r>
    </w:p>
    <w:p>
      <w:pPr>
        <w:pStyle w:val="FirstParagraph"/>
        <w:rPr/>
      </w:pPr>
      <w:r>
        <w:rPr>
          <w:b/>
          <w:bCs/>
        </w:rPr>
        <w:t>Specification of outcome measures</w:t>
      </w:r>
      <w:r>
        <w:rPr/>
        <w:t xml:space="preserve"> (Zarin, 2011):</w:t>
      </w:r>
    </w:p>
    <w:p>
      <w:pPr>
        <w:pStyle w:val="Compact"/>
        <w:numPr>
          <w:ilvl w:val="0"/>
          <w:numId w:val="30"/>
        </w:numPr>
        <w:rPr/>
      </w:pPr>
      <w:r>
        <w:rPr/>
        <w:t>(Domain) Mortality</w:t>
      </w:r>
    </w:p>
    <w:p>
      <w:pPr>
        <w:pStyle w:val="Compact"/>
        <w:numPr>
          <w:ilvl w:val="0"/>
          <w:numId w:val="31"/>
        </w:numPr>
        <w:rPr/>
      </w:pPr>
      <w:r>
        <w:rPr/>
        <w:t>(Specific measurement) Death</w:t>
      </w:r>
    </w:p>
    <w:p>
      <w:pPr>
        <w:pStyle w:val="Compact"/>
        <w:numPr>
          <w:ilvl w:val="0"/>
          <w:numId w:val="32"/>
        </w:numPr>
        <w:rPr/>
      </w:pPr>
      <w:r>
        <w:rPr/>
        <w:t>(Specific metric) Time-to-event</w:t>
      </w:r>
    </w:p>
    <w:p>
      <w:pPr>
        <w:pStyle w:val="Compact"/>
        <w:numPr>
          <w:ilvl w:val="0"/>
          <w:numId w:val="33"/>
        </w:numPr>
        <w:rPr/>
      </w:pPr>
      <w:r>
        <w:rPr/>
        <w:t>(Method of aggregation) Hazard ratio</w:t>
      </w:r>
    </w:p>
    <w:p>
      <w:pPr>
        <w:pStyle w:val="FirstParagraph"/>
        <w:rPr/>
      </w:pPr>
      <w:r>
        <w:rPr>
          <w:b/>
          <w:bCs/>
        </w:rPr>
        <w:t>Primary outcome</w:t>
      </w:r>
    </w:p>
    <w:p>
      <w:pPr>
        <w:pStyle w:val="TextBody"/>
        <w:rPr/>
      </w:pPr>
      <w:bookmarkStart w:id="21" w:name="outcomes"/>
      <w:r>
        <w:rPr/>
        <w:t>Death after a brain injury.</w:t>
      </w:r>
      <w:bookmarkEnd w:id="21"/>
    </w:p>
    <w:p>
      <w:pPr>
        <w:pStyle w:val="Heading2"/>
        <w:rPr/>
      </w:pPr>
      <w:bookmarkStart w:id="22" w:name="__RefHeading___Toc4892_3727863378"/>
      <w:bookmarkEnd w:id="22"/>
      <w:r>
        <w:rPr/>
        <w:t>Covariates</w:t>
      </w:r>
    </w:p>
    <w:p>
      <w:pPr>
        <w:pStyle w:val="Compact"/>
        <w:numPr>
          <w:ilvl w:val="0"/>
          <w:numId w:val="34"/>
        </w:numPr>
        <w:rPr/>
      </w:pPr>
      <w:r>
        <w:rPr/>
        <w:t>Sex</w:t>
      </w:r>
    </w:p>
    <w:p>
      <w:pPr>
        <w:pStyle w:val="Compact"/>
        <w:numPr>
          <w:ilvl w:val="0"/>
          <w:numId w:val="35"/>
        </w:numPr>
        <w:rPr/>
      </w:pPr>
      <w:r>
        <w:rPr/>
        <w:t>Race</w:t>
      </w:r>
    </w:p>
    <w:p>
      <w:pPr>
        <w:pStyle w:val="Compact"/>
        <w:numPr>
          <w:ilvl w:val="0"/>
          <w:numId w:val="36"/>
        </w:numPr>
        <w:rPr/>
      </w:pPr>
      <w:r>
        <w:rPr/>
        <w:t>Age at injury</w:t>
      </w:r>
    </w:p>
    <w:p>
      <w:pPr>
        <w:pStyle w:val="Compact"/>
        <w:numPr>
          <w:ilvl w:val="0"/>
          <w:numId w:val="37"/>
        </w:numPr>
        <w:rPr/>
      </w:pPr>
      <w:r>
        <w:rPr/>
        <w:t>Substance Problem Use</w:t>
      </w:r>
    </w:p>
    <w:p>
      <w:pPr>
        <w:pStyle w:val="Compact"/>
        <w:numPr>
          <w:ilvl w:val="0"/>
          <w:numId w:val="38"/>
        </w:numPr>
        <w:rPr/>
      </w:pPr>
      <w:r>
        <w:rPr/>
        <w:t>Education</w:t>
      </w:r>
    </w:p>
    <w:p>
      <w:pPr>
        <w:pStyle w:val="Compact"/>
        <w:numPr>
          <w:ilvl w:val="0"/>
          <w:numId w:val="39"/>
        </w:numPr>
        <w:rPr/>
      </w:pPr>
      <w:r>
        <w:rPr/>
        <w:t>Employment status</w:t>
      </w:r>
    </w:p>
    <w:p>
      <w:pPr>
        <w:pStyle w:val="Compact"/>
        <w:numPr>
          <w:ilvl w:val="0"/>
          <w:numId w:val="40"/>
        </w:numPr>
        <w:rPr/>
      </w:pPr>
      <w:r>
        <w:rPr/>
        <w:t>Rural area</w:t>
      </w:r>
    </w:p>
    <w:p>
      <w:pPr>
        <w:pStyle w:val="Compact"/>
        <w:numPr>
          <w:ilvl w:val="0"/>
          <w:numId w:val="41"/>
        </w:numPr>
        <w:rPr/>
      </w:pPr>
      <w:r>
        <w:rPr/>
        <w:t>Previous seizure disorder diagnosis</w:t>
      </w:r>
    </w:p>
    <w:p>
      <w:pPr>
        <w:pStyle w:val="Compact"/>
        <w:numPr>
          <w:ilvl w:val="0"/>
          <w:numId w:val="42"/>
        </w:numPr>
        <w:rPr/>
      </w:pPr>
      <w:r>
        <w:rPr/>
        <w:t>Spinal cord injury</w:t>
      </w:r>
    </w:p>
    <w:p>
      <w:pPr>
        <w:pStyle w:val="Compact"/>
        <w:numPr>
          <w:ilvl w:val="0"/>
          <w:numId w:val="43"/>
        </w:numPr>
        <w:rPr/>
      </w:pPr>
      <w:r>
        <w:rPr/>
        <w:t>Cause of injury</w:t>
      </w:r>
    </w:p>
    <w:p>
      <w:pPr>
        <w:pStyle w:val="Compact"/>
        <w:numPr>
          <w:ilvl w:val="0"/>
          <w:numId w:val="44"/>
        </w:numPr>
        <w:rPr/>
      </w:pPr>
      <w:r>
        <w:rPr/>
        <w:t>Primary rehabilitation payer</w:t>
      </w:r>
    </w:p>
    <w:p>
      <w:pPr>
        <w:pStyle w:val="Compact"/>
        <w:numPr>
          <w:ilvl w:val="0"/>
          <w:numId w:val="45"/>
        </w:numPr>
        <w:rPr/>
      </w:pPr>
      <w:r>
        <w:rPr/>
        <w:t>Residence after rehab discharge</w:t>
      </w:r>
    </w:p>
    <w:p>
      <w:pPr>
        <w:pStyle w:val="Compact"/>
        <w:numPr>
          <w:ilvl w:val="0"/>
          <w:numId w:val="46"/>
        </w:numPr>
        <w:rPr/>
      </w:pPr>
      <w:r>
        <w:rPr/>
        <w:t>Days From Injury to Rehab Discharge</w:t>
      </w:r>
    </w:p>
    <w:p>
      <w:pPr>
        <w:pStyle w:val="Compact"/>
        <w:numPr>
          <w:ilvl w:val="0"/>
          <w:numId w:val="47"/>
        </w:numPr>
        <w:rPr/>
      </w:pPr>
      <w:r>
        <w:rPr/>
        <w:t>FIM Motor at Discharge</w:t>
      </w:r>
    </w:p>
    <w:p>
      <w:pPr>
        <w:pStyle w:val="Compact"/>
        <w:numPr>
          <w:ilvl w:val="0"/>
          <w:numId w:val="48"/>
        </w:numPr>
        <w:rPr/>
      </w:pPr>
      <w:bookmarkStart w:id="23" w:name="covariates"/>
      <w:bookmarkStart w:id="24" w:name="study-parameters"/>
      <w:r>
        <w:rPr/>
        <w:t>FIM Cognitive at Discharge</w:t>
      </w:r>
      <w:bookmarkEnd w:id="23"/>
      <w:bookmarkEnd w:id="24"/>
    </w:p>
    <w:p>
      <w:pPr>
        <w:pStyle w:val="Heading1"/>
        <w:rPr/>
      </w:pPr>
      <w:bookmarkStart w:id="25" w:name="__RefHeading___Toc4894_3727863378"/>
      <w:bookmarkStart w:id="26" w:name="statistical-methods"/>
      <w:bookmarkEnd w:id="25"/>
      <w:r>
        <w:rPr/>
        <w:t>Statistical methods</w:t>
      </w:r>
    </w:p>
    <w:p>
      <w:pPr>
        <w:pStyle w:val="Heading2"/>
        <w:rPr/>
      </w:pPr>
      <w:bookmarkStart w:id="27" w:name="__RefHeading___Toc4896_3727863378"/>
      <w:bookmarkEnd w:id="27"/>
      <w:r>
        <w:rPr/>
        <w:t>Statistical analyses</w:t>
      </w:r>
    </w:p>
    <w:p>
      <w:pPr>
        <w:pStyle w:val="Heading3"/>
        <w:rPr/>
      </w:pPr>
      <w:bookmarkStart w:id="28" w:name="__RefHeading___Toc4898_3727863378"/>
      <w:bookmarkEnd w:id="28"/>
      <w:r>
        <w:rPr/>
        <w:t>Descriptive analyses</w:t>
      </w:r>
    </w:p>
    <w:p>
      <w:pPr>
        <w:pStyle w:val="FirstParagraph"/>
        <w:rPr/>
      </w:pPr>
      <w:bookmarkStart w:id="29"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29"/>
    </w:p>
    <w:p>
      <w:pPr>
        <w:pStyle w:val="Heading3"/>
        <w:rPr/>
      </w:pPr>
      <w:bookmarkStart w:id="30" w:name="__RefHeading___Toc4900_3727863378"/>
      <w:bookmarkEnd w:id="30"/>
      <w:r>
        <w:rPr/>
        <w:t>Inferential analyses</w:t>
      </w:r>
    </w:p>
    <w:p>
      <w:pPr>
        <w:pStyle w:val="FirstParagraph"/>
        <w:rPr/>
      </w:pPr>
      <w:bookmarkStart w:id="31" w:name="inferential-analyses"/>
      <w:r>
        <w:rPr/>
        <w:t>All inferential analyses will be performed in the statistical models (described in the next section).</w:t>
      </w:r>
      <w:bookmarkEnd w:id="31"/>
    </w:p>
    <w:p>
      <w:pPr>
        <w:pStyle w:val="Heading3"/>
        <w:rPr/>
      </w:pPr>
      <w:bookmarkStart w:id="32" w:name="__RefHeading___Toc4902_3727863378"/>
      <w:bookmarkEnd w:id="32"/>
      <w:r>
        <w:rPr/>
        <w:t>Statistical modeling</w:t>
      </w:r>
    </w:p>
    <w:p>
      <w:pPr>
        <w:pStyle w:val="FirstParagraph"/>
        <w:rPr/>
      </w:pPr>
      <w:bookmarkStart w:id="33" w:name="statistical-modeling"/>
      <w:r>
        <w:rPr/>
        <w:t>The hazard of mortality will be assessed with multivariate Cox regression models. In order to assess if there is an effect of the SES of the neighborhood to which the participant was discharged on mortality will be assessed with three models. A crude estimate of the HR between each SES quintiles and mortality will be calculated as the basis of interpretation of the effect. The best estimate of the true effect will be calculated adjusting for all covariates described in section 4.5. This full model will be evaluated for the proportional hazards assumption by testing the Schoenfeld residuals. Variables that are significantly associated with time will be removed before the final model is evaluated and described. Finally, the same model will be fitted to a filtered dataset that excludes all deaths happening within one year, to assess if there is an effect on late mortality in a sensitivity analysis.</w:t>
      </w:r>
      <w:bookmarkEnd w:id="33"/>
    </w:p>
    <w:p>
      <w:pPr>
        <w:pStyle w:val="Heading3"/>
        <w:rPr/>
      </w:pPr>
      <w:bookmarkStart w:id="34" w:name="__RefHeading___Toc4904_3727863378"/>
      <w:bookmarkEnd w:id="34"/>
      <w:r>
        <w:rPr/>
        <w:t>Missing data</w:t>
      </w:r>
    </w:p>
    <w:p>
      <w:pPr>
        <w:pStyle w:val="FirstParagraph"/>
        <w:rPr/>
      </w:pPr>
      <w:bookmarkStart w:id="35" w:name="missing-data"/>
      <w:bookmarkStart w:id="36" w:name="statistical-analyses"/>
      <w:r>
        <w:rPr/>
        <w:t>No missing data imputation will be performed. All evaluations will be performed as complete case analyses. Missing data counts and proportions will be reported in tables.</w:t>
      </w:r>
      <w:bookmarkEnd w:id="35"/>
      <w:bookmarkEnd w:id="36"/>
    </w:p>
    <w:p>
      <w:pPr>
        <w:pStyle w:val="Heading2"/>
        <w:rPr/>
      </w:pPr>
      <w:bookmarkStart w:id="37" w:name="__RefHeading___Toc4906_3727863378"/>
      <w:bookmarkEnd w:id="37"/>
      <w:r>
        <w:rPr/>
        <w:t>Significance and Confidence Intervals</w:t>
      </w:r>
    </w:p>
    <w:p>
      <w:pPr>
        <w:pStyle w:val="FirstParagraph"/>
        <w:rPr/>
      </w:pPr>
      <w:bookmarkStart w:id="38" w:name="significance-and-confidence-intervals"/>
      <w:r>
        <w:rPr/>
        <w:t xml:space="preserve">All analyses will be performed using the significance level of 5%. All significance hypothesis tests and confidence intervals computed will be two-tailed.  </w:t>
      </w:r>
      <w:bookmarkEnd w:id="38"/>
    </w:p>
    <w:p>
      <w:pPr>
        <w:pStyle w:val="Heading2"/>
        <w:rPr/>
      </w:pPr>
      <w:bookmarkStart w:id="39" w:name="__RefHeading___Toc4908_3727863378"/>
      <w:bookmarkEnd w:id="39"/>
      <w:r>
        <w:rPr/>
        <w:t>Study size and Power</w:t>
      </w:r>
    </w:p>
    <w:p>
      <w:pPr>
        <w:pStyle w:val="FirstParagraph"/>
        <w:rPr/>
      </w:pPr>
      <w:bookmarkStart w:id="40" w:name="study-size-and-power"/>
      <w:r>
        <w:rPr/>
        <w:t>N/A</w:t>
      </w:r>
      <w:bookmarkEnd w:id="40"/>
    </w:p>
    <w:p>
      <w:pPr>
        <w:pStyle w:val="Heading2"/>
        <w:rPr/>
      </w:pPr>
      <w:bookmarkStart w:id="41" w:name="__RefHeading___Toc4910_3727863378"/>
      <w:bookmarkStart w:id="42" w:name="statistical-packages"/>
      <w:bookmarkEnd w:id="41"/>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26"/>
      <w:bookmarkEnd w:id="42"/>
    </w:p>
    <w:p>
      <w:pPr>
        <w:pStyle w:val="Heading1"/>
        <w:rPr/>
      </w:pPr>
      <w:bookmarkStart w:id="43" w:name="__RefHeading___Toc4912_3727863378"/>
      <w:bookmarkStart w:id="44" w:name="observations-and-limitations"/>
      <w:bookmarkEnd w:id="43"/>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44"/>
    </w:p>
    <w:p>
      <w:pPr>
        <w:pStyle w:val="Heading1"/>
        <w:rPr/>
      </w:pPr>
      <w:bookmarkStart w:id="45" w:name="__RefHeading___Toc4914_3727863378"/>
      <w:bookmarkStart w:id="46" w:name="references"/>
      <w:bookmarkEnd w:id="45"/>
      <w:r>
        <w:rPr/>
        <w:t>References</w:t>
      </w:r>
    </w:p>
    <w:p>
      <w:pPr>
        <w:pStyle w:val="Compact"/>
        <w:numPr>
          <w:ilvl w:val="0"/>
          <w:numId w:val="49"/>
        </w:numPr>
        <w:rPr/>
      </w:pPr>
      <w:r>
        <w:rPr>
          <w:b/>
          <w:bCs/>
        </w:rPr>
        <w:t>SAR-2023-004-BH-v02</w:t>
      </w:r>
      <w:r>
        <w:rPr/>
        <w:t xml:space="preserve"> – Effect of socioeconomic status of neighborhoods in mortality mortality rates after brain injury: cohort study </w:t>
      </w:r>
    </w:p>
    <w:p>
      <w:pPr>
        <w:pStyle w:val="Compact"/>
        <w:numPr>
          <w:ilvl w:val="0"/>
          <w:numId w:val="50"/>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51"/>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52"/>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46"/>
    </w:p>
    <w:p>
      <w:pPr>
        <w:pStyle w:val="Heading1"/>
        <w:rPr/>
      </w:pPr>
      <w:bookmarkStart w:id="47" w:name="__RefHeading___Toc4916_3727863378"/>
      <w:bookmarkEnd w:id="47"/>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8" w:name="__RefHeading___Toc4918_3727863378"/>
      <w:bookmarkEnd w:id="48"/>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bookmarkStart w:id="49" w:name="availability"/>
      <w:bookmarkStart w:id="50" w:name="appendix"/>
      <w:r>
        <w:rPr>
          <w:rStyle w:val="InternetLink"/>
        </w:rPr>
        <w:t>https://philsf-biostat.github.io/SAR-2023-004-BH/</w:t>
      </w:r>
      <w:bookmarkEnd w:id="49"/>
      <w:bookmarkEnd w:id="50"/>
    </w:p>
    <w:p>
      <w:pPr>
        <w:pStyle w:val="Heading2"/>
        <w:rPr/>
      </w:pPr>
      <w:bookmarkStart w:id="51" w:name="__RefHeading___Toc482_3733959334"/>
      <w:bookmarkEnd w:id="51"/>
      <w:r>
        <w:rPr/>
        <w:t>Associated analyses</w:t>
      </w:r>
    </w:p>
    <w:p>
      <w:pPr>
        <w:pStyle w:val="FirstParagraph"/>
        <w:rPr/>
      </w:pPr>
      <w:r>
        <w:rPr/>
        <w:t>This analysis is part of a larger project and is supported by other analyses, linked below.</w:t>
      </w:r>
    </w:p>
    <w:p>
      <w:pPr>
        <w:pStyle w:val="TextBody"/>
        <w:rPr/>
      </w:pPr>
      <w:r>
        <w:rPr>
          <w:b/>
          <w:bCs/>
        </w:rPr>
        <w:t>Time-adjusted effect of socioeconomic status in mortality rates after brain injury: cohort study</w:t>
      </w:r>
    </w:p>
    <w:p>
      <w:pPr>
        <w:pStyle w:val="TextBody"/>
        <w:rPr/>
      </w:pPr>
      <w:hyperlink r:id="rId6">
        <w:r>
          <w:rPr>
            <w:rStyle w:val="InternetLink"/>
          </w:rPr>
          <w:t>https://philsf-biostat.github.io/SAR-2023-016-BH/</w:t>
        </w:r>
      </w:hyperlink>
    </w:p>
    <w:p>
      <w:pPr>
        <w:pStyle w:val="TextBody"/>
        <w:rPr/>
      </w:pPr>
      <w:r>
        <w:rPr>
          <w:b/>
          <w:bCs/>
        </w:rPr>
        <w:t>Sensitivity of mortality rates to imputation of missing socioeconomic data after brain injury: cohort study</w:t>
      </w:r>
    </w:p>
    <w:p>
      <w:pPr>
        <w:pStyle w:val="TextBody"/>
        <w:spacing w:before="180" w:after="180"/>
        <w:rPr/>
      </w:pPr>
      <w:hyperlink r:id="rId7">
        <w:bookmarkStart w:id="52" w:name="associated-analyses"/>
        <w:bookmarkStart w:id="53" w:name="appendix_Copy_1"/>
        <w:r>
          <w:rPr>
            <w:rStyle w:val="InternetLink"/>
          </w:rPr>
          <w:t>https://philsf-biostat.github.io/SAR-2023-017-BH/</w:t>
        </w:r>
      </w:hyperlink>
      <w:bookmarkEnd w:id="52"/>
      <w:bookmarkEnd w:id="53"/>
    </w:p>
    <w:sectPr>
      <w:headerReference w:type="default" r:id="rId8"/>
      <w:footerReference w:type="default" r:id="rId9"/>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
  </w:num>
  <w:num w:numId="29">
    <w:abstractNumId w:val="2"/>
  </w:num>
  <w:num w:numId="30">
    <w:abstractNumId w:val="5"/>
    <w:lvlOverride w:ilvl="0">
      <w:startOverride w:val="1"/>
    </w:lvlOverride>
  </w:num>
  <w:num w:numId="31">
    <w:abstractNumId w:val="5"/>
  </w:num>
  <w:num w:numId="32">
    <w:abstractNumId w:val="5"/>
  </w:num>
  <w:num w:numId="33">
    <w:abstractNumId w:val="5"/>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16-BH/" TargetMode="External"/><Relationship Id="rId7" Type="http://schemas.openxmlformats.org/officeDocument/2006/relationships/hyperlink" Target="https://philsf-biostat.github.io/SAR-2023-017-B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LibreOffice/7.5.4.2$Linux_X86_64 LibreOffice_project/50$Build-2</Application>
  <AppVersion>15.0000</AppVersion>
  <Pages>6</Pages>
  <Words>1208</Words>
  <Characters>7019</Characters>
  <CharactersWithSpaces>8118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2023-02-24T17:49:29Z</dcterms:created>
  <dc:creator>From: Felipe Figueiredo To: Brennan Hickson</dc:creator>
  <dc:description/>
  <dc:language>pt-BR</dc:language>
  <cp:lastModifiedBy/>
  <dcterms:modified xsi:type="dcterms:W3CDTF">2023-06-14T15:43:34Z</dcterms:modified>
  <cp:revision>10</cp:revision>
  <dc:subject/>
  <dc:title>Analytical Plan for 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output">
    <vt:lpwstr/>
  </property>
  <property fmtid="{D5CDD505-2E9C-101B-9397-08002B2CF9AE}" pid="4" name="subtitle">
    <vt:lpwstr>DOCUMENT: SAP-2023-004-BH-v01</vt:lpwstr>
  </property>
</Properties>
</file>