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Effect of socioeconomic status of neighborhoods in mortality mortality rates after brain injury: retrospective cohort</w:t>
      </w:r>
    </w:p>
    <w:p>
      <w:pPr>
        <w:pStyle w:val="Subtitle"/>
        <w:rPr/>
      </w:pPr>
      <w:r>
        <w:rPr/>
        <w:t>DOCUMENT: SAR-2023-004-BH-v01</w:t>
      </w:r>
    </w:p>
    <w:p>
      <w:pPr>
        <w:pStyle w:val="Author"/>
        <w:rPr/>
      </w:pPr>
      <w:r>
        <w:rPr>
          <w:b/>
          <w:bCs/>
        </w:rPr>
        <w:t>From:</w:t>
      </w:r>
      <w:r>
        <w:rPr/>
        <w:t xml:space="preserve"> Felipe Figueiredo </w:t>
      </w:r>
      <w:r>
        <w:rPr>
          <w:b/>
          <w:bCs/>
        </w:rPr>
        <w:t>To:</w:t>
      </w:r>
      <w:r>
        <w:rPr/>
        <w:t xml:space="preserve"> Brennan Hickson</w:t>
      </w:r>
    </w:p>
    <w:p>
      <w:pPr>
        <w:pStyle w:val="Date"/>
        <w:rPr/>
      </w:pPr>
      <w:r>
        <w:rPr/>
        <w:t>`2023-02-10</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5525_3727863378">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5527_3727863378">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5529_3727863378">
            <w:r>
              <w:rPr>
                <w:webHidden/>
                <w:rStyle w:val="IndexLink"/>
              </w:rPr>
              <w:t xml:space="preserve"> </w:t>
            </w:r>
            <w:r>
              <w:rPr>
                <w:rStyle w:val="IndexLink"/>
              </w:rPr>
              <w:t>2.1  Objectives</w:t>
              <w:tab/>
              <w:t>2</w:t>
            </w:r>
          </w:hyperlink>
        </w:p>
        <w:p>
          <w:pPr>
            <w:pStyle w:val="Contents1"/>
            <w:tabs>
              <w:tab w:val="clear" w:pos="9360"/>
              <w:tab w:val="right" w:pos="9638" w:leader="dot"/>
            </w:tabs>
            <w:rPr/>
          </w:pPr>
          <w:hyperlink w:anchor="__RefHeading___Toc5531_3727863378">
            <w:r>
              <w:rPr>
                <w:webHidden/>
                <w:rStyle w:val="IndexLink"/>
              </w:rPr>
              <w:t xml:space="preserve"> </w:t>
            </w:r>
            <w:r>
              <w:rPr>
                <w:rStyle w:val="IndexLink"/>
              </w:rPr>
              <w:t>3  Methods</w:t>
              <w:tab/>
              <w:t>2</w:t>
            </w:r>
          </w:hyperlink>
        </w:p>
        <w:p>
          <w:pPr>
            <w:pStyle w:val="Contents1"/>
            <w:tabs>
              <w:tab w:val="clear" w:pos="9360"/>
              <w:tab w:val="right" w:pos="9638" w:leader="dot"/>
            </w:tabs>
            <w:rPr/>
          </w:pPr>
          <w:hyperlink w:anchor="__RefHeading___Toc5533_3727863378">
            <w:r>
              <w:rPr>
                <w:webHidden/>
                <w:rStyle w:val="IndexLink"/>
              </w:rPr>
              <w:t xml:space="preserve"> </w:t>
            </w:r>
            <w:r>
              <w:rPr>
                <w:rStyle w:val="IndexLink"/>
              </w:rPr>
              <w:t>4  Results</w:t>
              <w:tab/>
              <w:t>3</w:t>
            </w:r>
          </w:hyperlink>
        </w:p>
        <w:p>
          <w:pPr>
            <w:pStyle w:val="Contents2"/>
            <w:tabs>
              <w:tab w:val="clear" w:pos="9077"/>
              <w:tab w:val="right" w:pos="9638" w:leader="dot"/>
            </w:tabs>
            <w:rPr/>
          </w:pPr>
          <w:hyperlink w:anchor="__RefHeading___Toc5535_3727863378">
            <w:r>
              <w:rPr>
                <w:webHidden/>
                <w:rStyle w:val="IndexLink"/>
              </w:rPr>
              <w:t xml:space="preserve"> </w:t>
            </w:r>
            <w:r>
              <w:rPr>
                <w:rStyle w:val="IndexLink"/>
              </w:rPr>
              <w:t>4.1  Study population and follow up</w:t>
              <w:tab/>
              <w:t>3</w:t>
            </w:r>
          </w:hyperlink>
        </w:p>
        <w:p>
          <w:pPr>
            <w:pStyle w:val="Contents2"/>
            <w:tabs>
              <w:tab w:val="clear" w:pos="9077"/>
              <w:tab w:val="right" w:pos="9638" w:leader="dot"/>
            </w:tabs>
            <w:rPr/>
          </w:pPr>
          <w:hyperlink w:anchor="__RefHeading___Toc5537_3727863378">
            <w:r>
              <w:rPr>
                <w:webHidden/>
                <w:rStyle w:val="IndexLink"/>
              </w:rPr>
              <w:t xml:space="preserve"> </w:t>
            </w:r>
            <w:r>
              <w:rPr>
                <w:rStyle w:val="IndexLink"/>
              </w:rPr>
              <w:t>4.2  Effect of SES on mortality</w:t>
              <w:tab/>
              <w:t>8</w:t>
            </w:r>
          </w:hyperlink>
        </w:p>
        <w:p>
          <w:pPr>
            <w:pStyle w:val="Contents1"/>
            <w:tabs>
              <w:tab w:val="clear" w:pos="9360"/>
              <w:tab w:val="right" w:pos="9638" w:leader="dot"/>
            </w:tabs>
            <w:rPr/>
          </w:pPr>
          <w:hyperlink w:anchor="__RefHeading___Toc5539_3727863378">
            <w:r>
              <w:rPr>
                <w:webHidden/>
                <w:rStyle w:val="IndexLink"/>
              </w:rPr>
              <w:t xml:space="preserve"> </w:t>
            </w:r>
            <w:r>
              <w:rPr>
                <w:rStyle w:val="IndexLink"/>
              </w:rPr>
              <w:t>5  Observations and Limitations</w:t>
              <w:tab/>
              <w:t>11</w:t>
            </w:r>
          </w:hyperlink>
        </w:p>
        <w:p>
          <w:pPr>
            <w:pStyle w:val="Contents1"/>
            <w:tabs>
              <w:tab w:val="clear" w:pos="9360"/>
              <w:tab w:val="right" w:pos="9638" w:leader="dot"/>
            </w:tabs>
            <w:rPr/>
          </w:pPr>
          <w:hyperlink w:anchor="__RefHeading___Toc5541_3727863378">
            <w:r>
              <w:rPr>
                <w:webHidden/>
                <w:rStyle w:val="IndexLink"/>
              </w:rPr>
              <w:t xml:space="preserve"> </w:t>
            </w:r>
            <w:r>
              <w:rPr>
                <w:rStyle w:val="IndexLink"/>
              </w:rPr>
              <w:t>6  Conclusions</w:t>
              <w:tab/>
              <w:t>11</w:t>
            </w:r>
          </w:hyperlink>
        </w:p>
        <w:p>
          <w:pPr>
            <w:pStyle w:val="Contents1"/>
            <w:tabs>
              <w:tab w:val="clear" w:pos="9360"/>
              <w:tab w:val="right" w:pos="9638" w:leader="dot"/>
            </w:tabs>
            <w:rPr/>
          </w:pPr>
          <w:hyperlink w:anchor="__RefHeading___Toc5543_3727863378">
            <w:r>
              <w:rPr>
                <w:webHidden/>
                <w:rStyle w:val="IndexLink"/>
              </w:rPr>
              <w:t xml:space="preserve"> </w:t>
            </w:r>
            <w:r>
              <w:rPr>
                <w:rStyle w:val="IndexLink"/>
              </w:rPr>
              <w:t>7  References</w:t>
              <w:tab/>
              <w:t>11</w:t>
            </w:r>
          </w:hyperlink>
        </w:p>
        <w:p>
          <w:pPr>
            <w:pStyle w:val="Contents1"/>
            <w:tabs>
              <w:tab w:val="clear" w:pos="9360"/>
              <w:tab w:val="right" w:pos="9638" w:leader="dot"/>
            </w:tabs>
            <w:rPr/>
          </w:pPr>
          <w:hyperlink w:anchor="__RefHeading___Toc5545_3727863378">
            <w:r>
              <w:rPr>
                <w:webHidden/>
                <w:rStyle w:val="IndexLink"/>
              </w:rPr>
              <w:t xml:space="preserve"> </w:t>
            </w:r>
            <w:r>
              <w:rPr>
                <w:rStyle w:val="IndexLink"/>
              </w:rPr>
              <w:t>8  Appendix</w:t>
              <w:tab/>
              <w:t>12</w:t>
            </w:r>
          </w:hyperlink>
        </w:p>
        <w:p>
          <w:pPr>
            <w:pStyle w:val="Contents2"/>
            <w:tabs>
              <w:tab w:val="clear" w:pos="9077"/>
              <w:tab w:val="right" w:pos="9638" w:leader="dot"/>
            </w:tabs>
            <w:rPr/>
          </w:pPr>
          <w:hyperlink w:anchor="__RefHeading___Toc5547_3727863378">
            <w:r>
              <w:rPr>
                <w:webHidden/>
                <w:rStyle w:val="IndexLink"/>
              </w:rPr>
              <w:t xml:space="preserve"> </w:t>
            </w:r>
            <w:r>
              <w:rPr>
                <w:rStyle w:val="IndexLink"/>
              </w:rPr>
              <w:t>8.1  Exploratory data analysis</w:t>
              <w:tab/>
              <w:t>12</w:t>
            </w:r>
          </w:hyperlink>
        </w:p>
        <w:p>
          <w:pPr>
            <w:pStyle w:val="Contents2"/>
            <w:tabs>
              <w:tab w:val="clear" w:pos="9077"/>
              <w:tab w:val="right" w:pos="9638" w:leader="dot"/>
            </w:tabs>
            <w:rPr/>
          </w:pPr>
          <w:hyperlink w:anchor="__RefHeading___Toc5549_3727863378">
            <w:r>
              <w:rPr>
                <w:webHidden/>
                <w:rStyle w:val="IndexLink"/>
              </w:rPr>
              <w:t xml:space="preserve"> </w:t>
            </w:r>
            <w:r>
              <w:rPr>
                <w:rStyle w:val="IndexLink"/>
              </w:rPr>
              <w:t>8.2  Modeling strategy</w:t>
              <w:tab/>
              <w:t>15</w:t>
            </w:r>
          </w:hyperlink>
        </w:p>
        <w:p>
          <w:pPr>
            <w:pStyle w:val="Contents2"/>
            <w:tabs>
              <w:tab w:val="clear" w:pos="9077"/>
              <w:tab w:val="right" w:pos="9638" w:leader="dot"/>
            </w:tabs>
            <w:rPr/>
          </w:pPr>
          <w:hyperlink w:anchor="__RefHeading___Toc5551_3727863378">
            <w:r>
              <w:rPr>
                <w:webHidden/>
                <w:rStyle w:val="IndexLink"/>
              </w:rPr>
              <w:t xml:space="preserve"> </w:t>
            </w:r>
            <w:r>
              <w:rPr>
                <w:rStyle w:val="IndexLink"/>
              </w:rPr>
              <w:t>8.3  Availability</w:t>
              <w:tab/>
              <w:t>17</w:t>
            </w:r>
          </w:hyperlink>
        </w:p>
        <w:p>
          <w:pPr>
            <w:pStyle w:val="Contents2"/>
            <w:tabs>
              <w:tab w:val="clear" w:pos="9077"/>
              <w:tab w:val="right" w:pos="9638" w:leader="dot"/>
            </w:tabs>
            <w:rPr/>
          </w:pPr>
          <w:hyperlink w:anchor="__RefHeading___Toc5553_3727863378">
            <w:r>
              <w:rPr>
                <w:webHidden/>
                <w:rStyle w:val="IndexLink"/>
              </w:rPr>
              <w:t xml:space="preserve"> </w:t>
            </w:r>
            <w:r>
              <w:rPr>
                <w:rStyle w:val="IndexLink"/>
              </w:rPr>
              <w:t>8.4  Analytical dataset</w:t>
              <w:tab/>
              <w:t>17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70"/>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587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587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5525_3727863378"/>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1" w:name="abbreviations"/>
      <w:r>
        <w:rPr/>
        <w:t>SES: socioeconomic status</w:t>
      </w:r>
      <w:bookmarkEnd w:id="1"/>
    </w:p>
    <w:p>
      <w:pPr>
        <w:pStyle w:val="Heading1"/>
        <w:rPr/>
      </w:pPr>
      <w:bookmarkStart w:id="2" w:name="__RefHeading___Toc5527_3727863378"/>
      <w:bookmarkEnd w:id="2"/>
      <w:r>
        <w:rPr/>
        <w:t>Context</w:t>
      </w:r>
    </w:p>
    <w:p>
      <w:pPr>
        <w:pStyle w:val="Heading2"/>
        <w:rPr/>
      </w:pPr>
      <w:bookmarkStart w:id="3" w:name="__RefHeading___Toc5529_3727863378"/>
      <w:bookmarkEnd w:id="3"/>
      <w:r>
        <w:rPr/>
        <w:t>Objectives</w:t>
      </w:r>
    </w:p>
    <w:p>
      <w:pPr>
        <w:pStyle w:val="FirstParagraph"/>
        <w:rPr/>
      </w:pPr>
      <w:bookmarkStart w:id="4" w:name="objectives"/>
      <w:bookmarkStart w:id="5" w:name="context"/>
      <w:r>
        <w:rPr/>
        <w:t>To determine the effect of socioeconomic status of the neighborhood on mortality of patients with brain injury.</w:t>
      </w:r>
      <w:bookmarkEnd w:id="4"/>
      <w:bookmarkEnd w:id="5"/>
    </w:p>
    <w:p>
      <w:pPr>
        <w:pStyle w:val="Heading1"/>
        <w:rPr/>
      </w:pPr>
      <w:bookmarkStart w:id="6" w:name="__RefHeading___Toc5531_3727863378"/>
      <w:bookmarkStart w:id="7" w:name="methods"/>
      <w:bookmarkEnd w:id="6"/>
      <w:r>
        <w:rPr/>
        <w:t>Methods</w:t>
      </w:r>
    </w:p>
    <w:p>
      <w:pPr>
        <w:pStyle w:val="FirstParagraph"/>
        <w:rPr/>
      </w:pPr>
      <w:r>
        <w:rPr/>
        <w:t xml:space="preserve">The data procedures, design and analysis methods used in this report are fully described in the annex document </w:t>
      </w:r>
      <w:r>
        <w:rPr>
          <w:b/>
          <w:bCs/>
        </w:rPr>
        <w:t>SAP-2023-004-BH-v01</w:t>
      </w:r>
      <w:r>
        <w:rPr/>
        <w:t>.</w:t>
      </w:r>
    </w:p>
    <w:p>
      <w:pPr>
        <w:pStyle w:val="TextBody"/>
        <w:rPr/>
      </w:pPr>
      <w:r>
        <w:rPr/>
        <w:t xml:space="preserve">This analysis was performed using statistical software </w:t>
      </w:r>
      <w:r>
        <w:rPr>
          <w:rStyle w:val="VerbatimChar"/>
        </w:rPr>
        <w:t>R</w:t>
      </w:r>
      <w:r>
        <w:rPr/>
        <w:t xml:space="preserve"> version 4.2.1.</w:t>
      </w:r>
      <w:bookmarkEnd w:id="7"/>
    </w:p>
    <w:p>
      <w:pPr>
        <w:pStyle w:val="Heading1"/>
        <w:keepLines/>
        <w:widowControl/>
        <w:numPr>
          <w:ilvl w:val="0"/>
          <w:numId w:val="0"/>
        </w:numPr>
        <w:suppressAutoHyphens w:val="true"/>
        <w:ind w:left="0" w:hanging="0"/>
        <w:jc w:val="left"/>
        <w:rPr/>
      </w:pPr>
      <w:r>
        <w:rPr/>
      </w:r>
      <w:r>
        <w:br w:type="page"/>
      </w:r>
    </w:p>
    <w:p>
      <w:pPr>
        <w:pStyle w:val="Heading1"/>
        <w:rPr/>
      </w:pPr>
      <w:bookmarkStart w:id="8" w:name="__RefHeading___Toc5533_3727863378"/>
      <w:bookmarkEnd w:id="8"/>
      <w:r>
        <w:rPr/>
        <w:t>Results</w:t>
      </w:r>
    </w:p>
    <w:p>
      <w:pPr>
        <w:pStyle w:val="Heading2"/>
        <w:rPr/>
      </w:pPr>
      <w:bookmarkStart w:id="9" w:name="__RefHeading___Toc5535_3727863378"/>
      <w:bookmarkStart w:id="10" w:name="study-population-and-follow-up"/>
      <w:bookmarkEnd w:id="9"/>
      <w:r>
        <w:rPr/>
        <w:t>Study population and follow up</w:t>
      </w:r>
    </w:p>
    <w:p>
      <w:pPr>
        <w:pStyle w:val="FirstParagraph"/>
        <w:rPr/>
      </w:pPr>
      <w:r>
        <w:rPr/>
        <w:t>There initially were 76,665 observations on 19,303 study participants considered for inclusion. After excluding follow up measurements during the COVID-19 pandemic to mitigate confounding on mortality causes there were 51,322 observations left in the study sample. After applying the inclusion criteria for the study period between 2010-01-01 and 2018-12-31 and considering the status at the last available follow up time for each individual a total of 7,415 participants were included in the analysis.</w:t>
      </w:r>
    </w:p>
    <w:p>
      <w:pPr>
        <w:pStyle w:val="TextBody"/>
        <w:rPr/>
      </w:pPr>
      <w:r>
        <w:rPr/>
        <w:t>The epidemiological profile of the participant included in the study was a male participant (5,421 (73%)) with an average (SD) age of 31 (20) years. The average (SD) time of follow up was 3.05 (1.94) years.</w:t>
      </w:r>
    </w:p>
    <w:p>
      <w:pPr>
        <w:pStyle w:val="TextBody"/>
        <w:rPr/>
      </w:pPr>
      <w:r>
        <w:rPr/>
        <w:t>Races were not homogeneously available in the study population with 4,941 (67%) individuals being white; 3,170 (43%) were single (never married) at the time of injury, and most participants were well educated with 3,366 (46%) at greater than high school level. A total of 4,377 (59%) were employed and 3,466 (48%) participants lived in an urban area.</w:t>
      </w:r>
    </w:p>
    <w:tbl>
      <w:tblPr>
        <w:tblW w:w="9518" w:type="dxa"/>
        <w:jc w:val="left"/>
        <w:tblInd w:w="0" w:type="dxa"/>
        <w:tblLayout w:type="fixed"/>
        <w:tblCellMar>
          <w:top w:w="0" w:type="dxa"/>
          <w:left w:w="0" w:type="dxa"/>
          <w:bottom w:w="0" w:type="dxa"/>
          <w:right w:w="0" w:type="dxa"/>
        </w:tblCellMar>
        <w:tblLook w:noHBand="0" w:noVBand="1" w:firstColumn="0" w:lastRow="0" w:lastColumn="0" w:firstRow="1"/>
      </w:tblPr>
      <w:tblGrid>
        <w:gridCol w:w="8307"/>
        <w:gridCol w:w="1210"/>
      </w:tblGrid>
      <w:tr>
        <w:trPr>
          <w:tblHeader w:val="true"/>
          <w:trHeight w:val="602" w:hRule="atLeast"/>
        </w:trPr>
        <w:tc>
          <w:tcPr>
            <w:tcW w:w="8307"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Characteristic</w:t>
            </w:r>
          </w:p>
        </w:tc>
        <w:tc>
          <w:tcPr>
            <w:tcW w:w="121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N = 7,415</w:t>
            </w:r>
          </w:p>
        </w:tc>
      </w:tr>
      <w:tr>
        <w:trPr>
          <w:trHeight w:val="624" w:hRule="atLeast"/>
        </w:trPr>
        <w:tc>
          <w:tcPr>
            <w:tcW w:w="8307" w:type="dxa"/>
            <w:tcBorders>
              <w:top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SES quintiles, n (%)</w:t>
            </w:r>
          </w:p>
        </w:tc>
        <w:tc>
          <w:tcPr>
            <w:tcW w:w="1210" w:type="dxa"/>
            <w:tcBorders>
              <w:top w:val="single" w:sz="8" w:space="0" w:color="000000"/>
            </w:tcBorders>
            <w:shd w:color="auto" w:fill="FFFFFF" w:val="clear"/>
          </w:tcPr>
          <w:p>
            <w:pPr>
              <w:pStyle w:val="Normal"/>
              <w:widowControl w:val="false"/>
              <w:spacing w:lineRule="exact" w:line="240" w:before="0" w:after="0"/>
              <w:ind w:left="100" w:right="100" w:hanging="0"/>
              <w:jc w:val="center"/>
              <w:rPr/>
            </w:pPr>
            <w:r>
              <w:rPr/>
            </w:r>
          </w:p>
        </w:tc>
      </w:tr>
      <w:tr>
        <w:trPr>
          <w:trHeight w:val="61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Prosperous</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1,356 (22%)</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Comfortable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1,249 (20%)</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Mid-Tier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1,137 (19%)</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At-Risk</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1,176 (19%)</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Distressed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1,197 (20%)</w:t>
            </w:r>
          </w:p>
        </w:tc>
      </w:tr>
      <w:tr>
        <w:trPr>
          <w:trHeight w:val="600"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1,300</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Mortality, n (%)</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1,004 (14%)</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Time of follow up (years), Mean (SD)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3.05 (1.94)</w:t>
            </w:r>
          </w:p>
        </w:tc>
      </w:tr>
      <w:tr>
        <w:trPr>
          <w:trHeight w:val="607"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Sex:,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Male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5,421 (73%)</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Female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1,988 (27%)</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race?,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White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4,941 (67%)</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Black</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1,144 (15%)</w:t>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Hispanic</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952 (13%)</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368 (5.0%)</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10</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What is your marital status?,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Single (Never Married)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3,170 (43%)</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Married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2,595 (35%)</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Divorced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921 (12%)</w:t>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Separated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244 (3.3%)</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Widowed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454 (6.1%)</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 (0.2%)</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Age at injury, Mean (SD)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31 (20)</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07"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Substance Problem Use, n (%)</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2,691 (38%)</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264</w:t>
            </w:r>
          </w:p>
        </w:tc>
      </w:tr>
      <w:tr>
        <w:trPr>
          <w:trHeight w:val="607"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Education,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Greater Than High School</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3,366 (46%)</w:t>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Less Than High School</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1,380 (19%)</w:t>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High School/GED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2,615 (36%)</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54</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i w:val="false"/>
                <w:color w:val="000000"/>
                <w:sz w:val="16"/>
                <w:szCs w:val="16"/>
                <w:u w:val="none"/>
              </w:rPr>
              <w:t>At time of injury, what was your employment status?,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left"/>
              <w:rPr/>
            </w:pPr>
            <w:r>
              <w:rPr>
                <w:rFonts w:eastAsia="DejaVu Sans" w:cs="DejaVu Sans" w:ascii="DejaVu Sans" w:hAnsi="DejaVu Sans"/>
                <w:b w:val="false"/>
                <w:i w:val="false"/>
                <w:color w:val="000000"/>
                <w:sz w:val="16"/>
                <w:szCs w:val="16"/>
                <w:u w:val="none"/>
              </w:rPr>
              <w:t>Employed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4,377 (59%)</w:t>
            </w:r>
          </w:p>
        </w:tc>
      </w:tr>
      <w:tr>
        <w:trPr>
          <w:trHeight w:val="624"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Unemployed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795 (11%)</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2,209 (30%)</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Urbanization based on zip code of address at discharge.,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Suburban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2,191 (30%)</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Rural</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1,635 (22%)</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Urban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3,466 (48%)</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123</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Prior to this injury, has a physician ever told you that you have a seizure disorder?, n (%)</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(5.6%)</w:t>
            </w:r>
          </w:p>
        </w:tc>
      </w:tr>
      <w:tr>
        <w:trPr>
          <w:trHeight w:val="600"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6,488</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Spinal cord injury:, n (%)</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434 (5.9%)</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Cause of injury:,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Vehicular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3,327 (45%)</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Violence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650 (8.8%)</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Falls</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2,544 (34%)</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873 (12%)</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Primary rehabilitation payor:,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Insurance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3,872 (52%)</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Public Insurance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2,916 (39%)</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600 (8.1%)</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27</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Residence after rehab discharge:, n (%)</w:t>
            </w:r>
          </w:p>
        </w:tc>
        <w:tc>
          <w:tcPr>
            <w:tcW w:w="1210" w:type="dxa"/>
            <w:tcBorders/>
            <w:shd w:color="auto" w:fill="FFFFFF" w:val="clear"/>
          </w:tcPr>
          <w:p>
            <w:pPr>
              <w:pStyle w:val="Normal"/>
              <w:widowControl w:val="false"/>
              <w:spacing w:lineRule="exact" w:line="240" w:before="0" w:after="0"/>
              <w:ind w:left="100" w:right="100" w:hanging="0"/>
              <w:jc w:val="center"/>
              <w:rPr/>
            </w:pPr>
            <w:r>
              <w:rPr/>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Private Residence</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5,857 (79%)</w:t>
            </w:r>
          </w:p>
        </w:tc>
      </w:tr>
      <w:tr>
        <w:trPr>
          <w:trHeight w:val="607"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Other</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1,537 (21%)</w:t>
            </w:r>
          </w:p>
        </w:tc>
      </w:tr>
      <w:tr>
        <w:trPr>
          <w:trHeight w:val="581" w:hRule="atLeast"/>
        </w:trPr>
        <w:tc>
          <w:tcPr>
            <w:tcW w:w="8307" w:type="dxa"/>
            <w:tcBorders/>
            <w:shd w:color="auto" w:fill="FFFFFF" w:val="clear"/>
          </w:tcPr>
          <w:p>
            <w:pPr>
              <w:pStyle w:val="Normal"/>
              <w:widowControl w:val="false"/>
              <w:spacing w:lineRule="auto" w:line="240" w:before="0" w:after="0"/>
              <w:ind w:left="300" w:right="100" w:hanging="0"/>
              <w:jc w:val="center"/>
              <w:rPr/>
            </w:pPr>
            <w:r>
              <w:rPr>
                <w:rFonts w:eastAsia="DejaVu Sans" w:cs="DejaVu Sans" w:ascii="DejaVu Sans" w:hAnsi="DejaVu Sans"/>
                <w:b w:val="false"/>
                <w:i w:val="false"/>
                <w:color w:val="000000"/>
                <w:sz w:val="16"/>
                <w:szCs w:val="16"/>
                <w:u w:val="none"/>
              </w:rPr>
              <w:t>Unknown</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21</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Days From Injury to Rehab Discharge, Mean (SD)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44 (35)</w:t>
            </w:r>
          </w:p>
        </w:tc>
      </w:tr>
      <w:tr>
        <w:trPr>
          <w:trHeight w:val="624" w:hRule="atLeast"/>
        </w:trPr>
        <w:tc>
          <w:tcPr>
            <w:tcW w:w="8307" w:type="dxa"/>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Motor at Discharge:, Mean (SD)</w:t>
            </w:r>
          </w:p>
        </w:tc>
        <w:tc>
          <w:tcPr>
            <w:tcW w:w="1210" w:type="dxa"/>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52 (18)</w:t>
            </w:r>
          </w:p>
        </w:tc>
      </w:tr>
      <w:tr>
        <w:trPr>
          <w:trHeight w:val="624" w:hRule="atLeast"/>
        </w:trPr>
        <w:tc>
          <w:tcPr>
            <w:tcW w:w="8307" w:type="dxa"/>
            <w:tcBorders>
              <w:bottom w:val="single" w:sz="8" w:space="0" w:color="000000"/>
            </w:tcBorders>
            <w:shd w:color="auto" w:fill="FFFFFF" w:val="clear"/>
          </w:tcPr>
          <w:p>
            <w:pPr>
              <w:pStyle w:val="Normal"/>
              <w:widowControl w:val="false"/>
              <w:spacing w:lineRule="auto" w:line="240" w:before="0" w:after="0"/>
              <w:ind w:left="100" w:right="100" w:hanging="0"/>
              <w:jc w:val="left"/>
              <w:rPr/>
            </w:pPr>
            <w:r>
              <w:rPr>
                <w:rFonts w:eastAsia="DejaVu Sans" w:cs="DejaVu Sans" w:ascii="DejaVu Sans" w:hAnsi="DejaVu Sans"/>
                <w:b/>
                <w:i w:val="false"/>
                <w:color w:val="000000"/>
                <w:sz w:val="16"/>
                <w:szCs w:val="16"/>
                <w:u w:val="none"/>
              </w:rPr>
              <w:t>FIM Cognitive at Discharge:, Mean (SD)</w:t>
            </w:r>
          </w:p>
        </w:tc>
        <w:tc>
          <w:tcPr>
            <w:tcW w:w="1210" w:type="dxa"/>
            <w:tcBorders>
              <w:bottom w:val="single" w:sz="8" w:space="0" w:color="000000"/>
            </w:tcBorders>
            <w:shd w:color="auto" w:fill="FFFFFF" w:val="clear"/>
          </w:tcPr>
          <w:p>
            <w:pPr>
              <w:pStyle w:val="Normal"/>
              <w:widowControl w:val="false"/>
              <w:spacing w:lineRule="auto" w:line="240" w:before="0" w:after="0"/>
              <w:ind w:left="100" w:right="100" w:hanging="0"/>
              <w:jc w:val="center"/>
              <w:rPr/>
            </w:pPr>
            <w:r>
              <w:rPr>
                <w:rFonts w:eastAsia="DejaVu Sans" w:cs="DejaVu Sans" w:ascii="DejaVu Sans" w:hAnsi="DejaVu Sans"/>
                <w:b w:val="false"/>
                <w:i w:val="false"/>
                <w:color w:val="000000"/>
                <w:sz w:val="16"/>
                <w:szCs w:val="16"/>
                <w:u w:val="none"/>
              </w:rPr>
              <w:t>19 (7)</w:t>
            </w:r>
          </w:p>
        </w:tc>
      </w:tr>
    </w:tbl>
    <w:p>
      <w:pPr>
        <w:pStyle w:val="TextBody"/>
        <w:rPr/>
      </w:pPr>
      <w:r>
        <w:rPr/>
        <w:t>The observed overall mortality was 13.5% in the study period. The distribution of cases appear homogeneous across SES quintiles (Figure 1), ranging from 10.6% to 13.5%. We will test the effect of SES quintiles on the hazard rate in the next section. See also Figure A2 in the appendix for the distribution of sexes in each SES quintile in the study population.</w:t>
      </w:r>
    </w:p>
    <w:p>
      <w:pPr>
        <w:pStyle w:val="CaptionedFigure"/>
        <w:rPr/>
      </w:pPr>
      <w:r>
        <w:rPr/>
        <w:drawing>
          <wp:inline distT="0" distB="0" distL="0" distR="0">
            <wp:extent cx="4333240" cy="4333240"/>
            <wp:effectExtent l="0" t="0" r="0" b="0"/>
            <wp:docPr id="3" name="Picture" descr="Figure 1 Proportion of cases per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Proportion of cases per SES quintiles."/>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Proportion of cases per SES quintiles.</w:t>
      </w:r>
      <w:bookmarkEnd w:id="10"/>
    </w:p>
    <w:p>
      <w:pPr>
        <w:pStyle w:val="Heading2"/>
        <w:rPr/>
      </w:pPr>
      <w:bookmarkStart w:id="11" w:name="__RefHeading___Toc5537_3727863378"/>
      <w:bookmarkEnd w:id="11"/>
      <w:r>
        <w:rPr/>
        <w:t>Effect of SES on mortality</w:t>
      </w:r>
    </w:p>
    <w:p>
      <w:pPr>
        <w:pStyle w:val="FirstParagraph"/>
        <w:rPr/>
      </w:pPr>
      <w:r>
        <w:rPr/>
        <w:t>The previous seizure disorder diagnosis was missing for most of the study population and was not included in the model as a covariate to preserve study power. After excluding participants with missing data from other variables a total of 5,834 complete cases were available for analysis. The cause of injury and both FIM scales were removed from the model due to violations to the proportional hazards assumption (see Figure A4 in the appendix for the Schoenfeld residuals and p-values for each variable in the full model).</w:t>
      </w:r>
    </w:p>
    <w:p>
      <w:pPr>
        <w:pStyle w:val="TextBody"/>
        <w:rPr/>
      </w:pPr>
      <w:r>
        <w:rPr/>
        <w:t>The survival curves of both sexes by SES quintiles can be seen in Figure 2. Overall, the distressed neighborhoods appear to have a lower survival probability then other neighborhoods. This appears to be true for both sexes, and males had a higher risk of dying than females in all neighborhoods. This plot was cropped at 50% survival for presentation purposes, see Figure A3 in the appendix for an uncropped version.</w:t>
      </w:r>
    </w:p>
    <w:p>
      <w:pPr>
        <w:pStyle w:val="CaptionedFigure"/>
        <w:rPr/>
      </w:pPr>
      <w:r>
        <w:rPr/>
        <w:drawing>
          <wp:inline distT="0" distB="0" distL="0" distR="0">
            <wp:extent cx="4333240" cy="4333240"/>
            <wp:effectExtent l="0" t="0" r="0" b="0"/>
            <wp:docPr id="4" name="Image2" descr="Figure 2 Survival of participants, by sex and by SES quint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Figure 2 Survival of participants, by sex and by SES quintiles."/>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2</w:t>
      </w:r>
      <w:r>
        <w:rPr/>
        <w:t xml:space="preserve"> Survival of participants, by sex and by SES quintiles.</w:t>
      </w:r>
    </w:p>
    <w:p>
      <w:pPr>
        <w:pStyle w:val="TextBody"/>
        <w:rPr/>
      </w:pPr>
      <w:r>
        <w:rPr/>
        <w:t>When considering only the crude effect of SES on mortality neighborhood to which the individuals were discharged was associated with mortality (Table 2). Participants who were discharged to an at-risk neighborhood had increased chance of dying (HR = 1.29, 95% CI = 1.02 to 1.63), when compared to those discharged to a prosperous neighborhood. Participants discharged to a distressed neighborhood also had a higher mortality risk (HR = 1.38, 95% CI = 1.10 to 1.73), when compared to those discharged to a prosperous neighborhood.</w:t>
      </w:r>
      <w:r>
        <w:br w:type="page"/>
      </w:r>
    </w:p>
    <w:tbl>
      <w:tblPr>
        <w:tblW w:w="5000" w:type="pct"/>
        <w:jc w:val="left"/>
        <w:tblInd w:w="0" w:type="dxa"/>
        <w:tblLayout w:type="fixed"/>
        <w:tblCellMar>
          <w:top w:w="0" w:type="dxa"/>
          <w:left w:w="0" w:type="dxa"/>
          <w:bottom w:w="0" w:type="dxa"/>
          <w:right w:w="0" w:type="dxa"/>
        </w:tblCellMar>
        <w:tblLook w:noHBand="0" w:noVBand="1" w:firstColumn="0" w:lastRow="0" w:lastColumn="0" w:firstRow="1"/>
      </w:tblPr>
      <w:tblGrid>
        <w:gridCol w:w="1523"/>
        <w:gridCol w:w="601"/>
        <w:gridCol w:w="1214"/>
        <w:gridCol w:w="890"/>
        <w:gridCol w:w="601"/>
        <w:gridCol w:w="1214"/>
        <w:gridCol w:w="890"/>
        <w:gridCol w:w="601"/>
        <w:gridCol w:w="1214"/>
        <w:gridCol w:w="889"/>
      </w:tblGrid>
      <w:tr>
        <w:trPr>
          <w:tblHeader w:val="true"/>
          <w:trHeight w:val="624" w:hRule="atLeast"/>
        </w:trPr>
        <w:tc>
          <w:tcPr>
            <w:tcW w:w="1523" w:type="dxa"/>
            <w:tcBorders>
              <w:top w:val="single" w:sz="8" w:space="0" w:color="000000"/>
              <w:bottom w:val="single" w:sz="8" w:space="0" w:color="000000"/>
            </w:tcBorders>
            <w:shd w:color="auto" w:fill="FFFFFF" w:val="clear"/>
            <w:vAlign w:val="center"/>
          </w:tcPr>
          <w:p>
            <w:pPr>
              <w:pStyle w:val="Normal"/>
              <w:pageBreakBefore/>
              <w:widowControl w:val="false"/>
              <w:spacing w:lineRule="auto" w:line="240" w:before="0" w:after="0"/>
              <w:ind w:left="100" w:right="100" w:hanging="0"/>
              <w:jc w:val="left"/>
              <w:rPr>
                <w:rFonts w:eastAsia="DejaVu Sans" w:cs="DejaVu Sans"/>
                <w:b w:val="false"/>
                <w:i w:val="false"/>
                <w:i w:val="false"/>
                <w:color w:val="000000"/>
                <w:sz w:val="16"/>
                <w:szCs w:val="16"/>
                <w:u w:val="none"/>
              </w:rPr>
            </w:pPr>
            <w:r>
              <w:rPr>
                <w:rFonts w:eastAsia="DejaVu Sans" w:cs="DejaVu Sans"/>
                <w:b w:val="false"/>
                <w:i w:val="false"/>
                <w:color w:val="000000"/>
                <w:sz w:val="16"/>
                <w:szCs w:val="16"/>
                <w:u w:val="none"/>
              </w:rPr>
            </w:r>
          </w:p>
        </w:tc>
        <w:tc>
          <w:tcPr>
            <w:tcW w:w="2705"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Crude estimate</w:t>
            </w:r>
          </w:p>
        </w:tc>
        <w:tc>
          <w:tcPr>
            <w:tcW w:w="2705"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Adjusted estimate</w:t>
            </w:r>
          </w:p>
        </w:tc>
        <w:tc>
          <w:tcPr>
            <w:tcW w:w="2704" w:type="dxa"/>
            <w:gridSpan w:val="3"/>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Late deaths</w:t>
            </w:r>
          </w:p>
        </w:tc>
      </w:tr>
      <w:tr>
        <w:trPr>
          <w:tblHeader w:val="true"/>
          <w:trHeight w:val="624" w:hRule="atLeast"/>
        </w:trPr>
        <w:tc>
          <w:tcPr>
            <w:tcW w:w="1523"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Characteristic</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90"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c>
          <w:tcPr>
            <w:tcW w:w="601"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HR</w:t>
            </w:r>
            <w:r>
              <w:rPr>
                <w:rFonts w:eastAsia="DejaVu Sans" w:cs="DejaVu Sans"/>
                <w:b w:val="false"/>
                <w:i w:val="false"/>
                <w:color w:val="000000"/>
                <w:sz w:val="16"/>
                <w:szCs w:val="16"/>
                <w:u w:val="none"/>
                <w:vertAlign w:val="superscript"/>
              </w:rPr>
              <w:t>1</w:t>
            </w:r>
          </w:p>
        </w:tc>
        <w:tc>
          <w:tcPr>
            <w:tcW w:w="1214"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95% CI</w:t>
            </w:r>
            <w:r>
              <w:rPr>
                <w:rFonts w:eastAsia="DejaVu Sans" w:cs="DejaVu Sans"/>
                <w:b w:val="false"/>
                <w:i w:val="false"/>
                <w:color w:val="000000"/>
                <w:sz w:val="16"/>
                <w:szCs w:val="16"/>
                <w:u w:val="none"/>
                <w:vertAlign w:val="superscript"/>
              </w:rPr>
              <w:t>1</w:t>
            </w:r>
          </w:p>
        </w:tc>
        <w:tc>
          <w:tcPr>
            <w:tcW w:w="889" w:type="dxa"/>
            <w:tcBorders>
              <w:top w:val="single" w:sz="8" w:space="0" w:color="000000"/>
              <w:bottom w:val="single" w:sz="8" w:space="0" w:color="000000"/>
            </w:tcBorders>
            <w:shd w:color="auto" w:fill="FFFFFF" w:val="clear"/>
            <w:vAlign w:val="cente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p-value</w:t>
            </w:r>
          </w:p>
        </w:tc>
      </w:tr>
      <w:tr>
        <w:trPr>
          <w:trHeight w:val="624" w:hRule="atLeast"/>
        </w:trPr>
        <w:tc>
          <w:tcPr>
            <w:tcW w:w="1523" w:type="dxa"/>
            <w:tcBorders>
              <w:top w:val="single" w:sz="8" w:space="0" w:color="000000"/>
            </w:tcBorders>
            <w:shd w:color="auto" w:fill="FFFFFF" w:val="clear"/>
          </w:tcPr>
          <w:p>
            <w:pPr>
              <w:pStyle w:val="Normal"/>
              <w:widowControl w:val="false"/>
              <w:spacing w:lineRule="auto" w:line="240" w:before="0" w:after="0"/>
              <w:ind w:left="100" w:right="100" w:hanging="0"/>
              <w:jc w:val="left"/>
              <w:rPr>
                <w:sz w:val="16"/>
                <w:szCs w:val="16"/>
              </w:rPr>
            </w:pPr>
            <w:r>
              <w:rPr>
                <w:rFonts w:eastAsia="DejaVu Sans" w:cs="DejaVu Sans"/>
                <w:b/>
                <w:i w:val="false"/>
                <w:color w:val="000000"/>
                <w:sz w:val="16"/>
                <w:szCs w:val="16"/>
                <w:u w:val="none"/>
              </w:rPr>
              <w:t>SES quintiles</w:t>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90"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1214"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889" w:type="dxa"/>
            <w:tcBorders>
              <w:top w:val="single" w:sz="8" w:space="0" w:color="000000"/>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617" w:hRule="atLeast"/>
        </w:trPr>
        <w:tc>
          <w:tcPr>
            <w:tcW w:w="1523"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Prosperous</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90"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w:t>
            </w:r>
          </w:p>
        </w:tc>
        <w:tc>
          <w:tcPr>
            <w:tcW w:w="889" w:type="dxa"/>
            <w:tcBorders/>
            <w:shd w:color="auto" w:fill="FFFFFF" w:val="clear"/>
          </w:tcPr>
          <w:p>
            <w:pPr>
              <w:pStyle w:val="Normal"/>
              <w:widowControl w:val="false"/>
              <w:spacing w:lineRule="auto" w:line="240" w:before="0" w:after="0"/>
              <w:ind w:left="100" w:right="100" w:hanging="0"/>
              <w:jc w:val="center"/>
              <w:rPr>
                <w:rFonts w:ascii="Ubuntu" w:hAnsi="Ubuntu"/>
                <w:sz w:val="16"/>
                <w:szCs w:val="16"/>
              </w:rPr>
            </w:pPr>
            <w:r>
              <w:rPr>
                <w:sz w:val="16"/>
                <w:szCs w:val="16"/>
              </w:rPr>
            </w:r>
          </w:p>
        </w:tc>
      </w:tr>
      <w:tr>
        <w:trPr>
          <w:trHeight w:val="581" w:hRule="atLeast"/>
        </w:trPr>
        <w:tc>
          <w:tcPr>
            <w:tcW w:w="1523"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Comfortable</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1.18</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1.49</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1.25</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0.930</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0.75 to 1.33</w:t>
            </w:r>
          </w:p>
        </w:tc>
        <w:tc>
          <w:tcPr>
            <w:tcW w:w="889"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0.985</w:t>
            </w:r>
          </w:p>
        </w:tc>
      </w:tr>
      <w:tr>
        <w:trPr>
          <w:trHeight w:val="581" w:hRule="atLeast"/>
        </w:trPr>
        <w:tc>
          <w:tcPr>
            <w:tcW w:w="1523"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Mid-Tier</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0.78 to 1.27</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0.982</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1.14</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0.88 to 1.46</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0.318</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1.08</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0.79 to 1.47</w:t>
            </w:r>
          </w:p>
        </w:tc>
        <w:tc>
          <w:tcPr>
            <w:tcW w:w="889"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0.625</w:t>
            </w:r>
          </w:p>
        </w:tc>
      </w:tr>
      <w:tr>
        <w:trPr>
          <w:trHeight w:val="581" w:hRule="atLeast"/>
        </w:trPr>
        <w:tc>
          <w:tcPr>
            <w:tcW w:w="1523" w:type="dxa"/>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At-Risk</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1.29</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1.02 to 1.63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0.034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1.20</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0.94 to 1.53</w:t>
            </w:r>
          </w:p>
        </w:tc>
        <w:tc>
          <w:tcPr>
            <w:tcW w:w="890"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0.154</w:t>
            </w:r>
          </w:p>
        </w:tc>
        <w:tc>
          <w:tcPr>
            <w:tcW w:w="601"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1.32</w:t>
            </w:r>
          </w:p>
        </w:tc>
        <w:tc>
          <w:tcPr>
            <w:tcW w:w="1214"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0.99 to 1.76</w:t>
            </w:r>
          </w:p>
        </w:tc>
        <w:tc>
          <w:tcPr>
            <w:tcW w:w="889" w:type="dxa"/>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0.058</w:t>
            </w:r>
          </w:p>
        </w:tc>
      </w:tr>
      <w:tr>
        <w:trPr>
          <w:trHeight w:val="581" w:hRule="atLeast"/>
        </w:trPr>
        <w:tc>
          <w:tcPr>
            <w:tcW w:w="1523" w:type="dxa"/>
            <w:tcBorders>
              <w:bottom w:val="single" w:sz="8" w:space="0" w:color="000000"/>
            </w:tcBorders>
            <w:shd w:color="auto" w:fill="FFFFFF" w:val="clear"/>
          </w:tcPr>
          <w:p>
            <w:pPr>
              <w:pStyle w:val="Normal"/>
              <w:widowControl w:val="false"/>
              <w:spacing w:lineRule="auto" w:line="240" w:before="0" w:after="0"/>
              <w:ind w:left="300" w:right="100" w:hanging="0"/>
              <w:jc w:val="left"/>
              <w:rPr>
                <w:sz w:val="16"/>
                <w:szCs w:val="16"/>
              </w:rPr>
            </w:pPr>
            <w:r>
              <w:rPr>
                <w:rFonts w:eastAsia="DejaVu Sans" w:cs="DejaVu Sans"/>
                <w:b w:val="false"/>
                <w:i w:val="false"/>
                <w:color w:val="000000"/>
                <w:sz w:val="16"/>
                <w:szCs w:val="16"/>
                <w:u w:val="none"/>
              </w:rPr>
              <w:t>Distressed</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1.38</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1.10 to 1.73</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0.006</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1.35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1.05 to 1.72</w:t>
            </w:r>
          </w:p>
        </w:tc>
        <w:tc>
          <w:tcPr>
            <w:tcW w:w="890"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i w:val="false"/>
                <w:color w:val="000000"/>
                <w:sz w:val="16"/>
                <w:szCs w:val="16"/>
                <w:u w:val="none"/>
              </w:rPr>
              <w:t>0.018</w:t>
            </w:r>
          </w:p>
        </w:tc>
        <w:tc>
          <w:tcPr>
            <w:tcW w:w="601"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1.25</w:t>
            </w:r>
          </w:p>
        </w:tc>
        <w:tc>
          <w:tcPr>
            <w:tcW w:w="1214"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0.93 to 1.69</w:t>
            </w:r>
          </w:p>
        </w:tc>
        <w:tc>
          <w:tcPr>
            <w:tcW w:w="889" w:type="dxa"/>
            <w:tcBorders>
              <w:bottom w:val="single" w:sz="8" w:space="0" w:color="000000"/>
            </w:tcBorders>
            <w:shd w:color="auto" w:fill="FFFFFF" w:val="clear"/>
          </w:tcPr>
          <w:p>
            <w:pPr>
              <w:pStyle w:val="Normal"/>
              <w:widowControl w:val="false"/>
              <w:spacing w:lineRule="auto" w:line="240" w:before="0" w:after="0"/>
              <w:ind w:left="100" w:right="100" w:hanging="0"/>
              <w:jc w:val="center"/>
              <w:rPr>
                <w:sz w:val="16"/>
                <w:szCs w:val="16"/>
              </w:rPr>
            </w:pPr>
            <w:r>
              <w:rPr>
                <w:rFonts w:eastAsia="DejaVu Sans" w:cs="DejaVu Sans"/>
                <w:b w:val="false"/>
                <w:i w:val="false"/>
                <w:color w:val="000000"/>
                <w:sz w:val="16"/>
                <w:szCs w:val="16"/>
                <w:u w:val="none"/>
              </w:rPr>
              <w:t>0.139</w:t>
            </w:r>
          </w:p>
        </w:tc>
      </w:tr>
      <w:tr>
        <w:trPr>
          <w:trHeight w:val="360" w:hRule="atLeast"/>
        </w:trPr>
        <w:tc>
          <w:tcPr>
            <w:tcW w:w="9637" w:type="dxa"/>
            <w:gridSpan w:val="10"/>
            <w:tcBorders>
              <w:top w:val="single" w:sz="8" w:space="0" w:color="000000"/>
            </w:tcBorders>
            <w:shd w:color="auto" w:fill="FFFFFF" w:val="clear"/>
            <w:vAlign w:val="center"/>
          </w:tcPr>
          <w:p>
            <w:pPr>
              <w:pStyle w:val="Normal"/>
              <w:widowControl w:val="false"/>
              <w:spacing w:lineRule="auto" w:line="240" w:before="0" w:after="0"/>
              <w:ind w:left="100" w:right="100" w:hanging="0"/>
              <w:jc w:val="left"/>
              <w:rPr>
                <w:sz w:val="16"/>
                <w:szCs w:val="16"/>
              </w:rPr>
            </w:pPr>
            <w:r>
              <w:rPr>
                <w:rFonts w:eastAsia="DejaVu Sans" w:cs="DejaVu Sans"/>
                <w:b w:val="false"/>
                <w:i w:val="false"/>
                <w:color w:val="000000"/>
                <w:sz w:val="16"/>
                <w:szCs w:val="16"/>
                <w:u w:val="none"/>
                <w:vertAlign w:val="superscript"/>
              </w:rPr>
              <w:t>1</w:t>
            </w:r>
            <w:r>
              <w:rPr>
                <w:rFonts w:eastAsia="DejaVu Sans" w:cs="DejaVu Sans"/>
                <w:b w:val="false"/>
                <w:i w:val="false"/>
                <w:color w:val="000000"/>
                <w:sz w:val="16"/>
                <w:szCs w:val="16"/>
                <w:u w:val="none"/>
              </w:rPr>
              <w:t>HR = Hazard Ratio, CI = Confidence Interval</w:t>
            </w:r>
          </w:p>
        </w:tc>
      </w:tr>
    </w:tbl>
    <w:p>
      <w:pPr>
        <w:pStyle w:val="TextBody"/>
        <w:rPr/>
      </w:pPr>
      <w:r>
        <w:rPr/>
        <w:t>After controlling for all relevant covariates, this effect can only be consistently detected for the distressed neighborhoods, that exhibit a 35% increased risk of dying than prosperous neighborhoods (HR = 1.35, 95% CI = 1.05 to 1.72). The point estimates for all adjusted estimates of SES effect range from 0.99 to 1.35, relative to the prosperous neighborhood, and that represents a narrower range of point estimates than the crude estimates (from 1.00 to 1.38).</w:t>
      </w:r>
    </w:p>
    <w:p>
      <w:pPr>
        <w:pStyle w:val="TextBody"/>
        <w:rPr/>
      </w:pPr>
      <w:bookmarkStart w:id="12" w:name="effect-of-ses-on-mortality"/>
      <w:bookmarkStart w:id="13" w:name="results"/>
      <w:r>
        <w:rPr/>
        <w:t>When considering only late deaths the SES effect is not significantly associated with mortality, and estimates relative to a prosperous neighborhood range from 1.00 to 1.32 (which is an even narrower range than the crude estimates). The adjusted estimates of all-time mortality can be compared with late mortality where in all neighborhoods the CI of the adjusted estimate is contained within the late death CI’s, except for mid-tier and distressed neighborhoods that exceed the respective upper ranges of confidence by a diminute margin (presumably due to precision and study power). The respective point estimates in most cases do not change by a large amount, where most differences fall under at most 0.1 HR, with the exception of at-risk neighborhoods. In the latter both the difference and the CI indicate higher estimates which, although not consistently detectable, is in line with the crude estimate for these neighborhoods. It can be concluded that effect of SES on the risk of late death is not substantially different from all-time death in the study population, after controlling for all covariates.</w:t>
      </w:r>
      <w:bookmarkEnd w:id="12"/>
      <w:bookmarkEnd w:id="13"/>
    </w:p>
    <w:p>
      <w:pPr>
        <w:pStyle w:val="Heading1"/>
        <w:rPr/>
      </w:pPr>
      <w:bookmarkStart w:id="14" w:name="__RefHeading___Toc5539_3727863378"/>
      <w:bookmarkStart w:id="15" w:name="observations-and-limitations"/>
      <w:bookmarkEnd w:id="14"/>
      <w:r>
        <w:rPr/>
        <w:t>Observations and Limitations</w:t>
      </w:r>
    </w:p>
    <w:p>
      <w:pPr>
        <w:pStyle w:val="FirstParagraph"/>
        <w:rPr/>
      </w:pPr>
      <w:r>
        <w:rPr>
          <w:b/>
          <w:bCs/>
        </w:rPr>
        <w:t>Recommended reporting guideline</w:t>
      </w:r>
    </w:p>
    <w:p>
      <w:pPr>
        <w:pStyle w:val="TextBody"/>
        <w:rPr/>
      </w:pPr>
      <w:r>
        <w:rPr/>
        <w:t>The adoption of the EQUATOR network (</w:t>
      </w:r>
      <w:hyperlink r:id="rId4">
        <w:r>
          <w:rPr>
            <w:rStyle w:val="InternetLink"/>
          </w:rPr>
          <w:t>http://www.equator-network.org/</w:t>
        </w:r>
      </w:hyperlink>
      <w:r>
        <w:rPr/>
        <w:t>) reporting guidelines have seen increasing adoption by scientific journals. All observational studies are recommended to be reported following the STROBE guideline (von Elm et al, 2014).</w:t>
      </w:r>
      <w:bookmarkEnd w:id="15"/>
    </w:p>
    <w:p>
      <w:pPr>
        <w:pStyle w:val="Heading1"/>
        <w:rPr/>
      </w:pPr>
      <w:bookmarkStart w:id="16" w:name="__RefHeading___Toc5541_3727863378"/>
      <w:bookmarkEnd w:id="16"/>
      <w:r>
        <w:rPr/>
        <w:t>Conclusions</w:t>
      </w:r>
    </w:p>
    <w:p>
      <w:pPr>
        <w:pStyle w:val="FirstParagraph"/>
        <w:rPr/>
      </w:pPr>
      <w:r>
        <w:rPr/>
        <w:t>The epidemiological profile of the study participant is an 31 years old white male, that has greater than high school level of education, is actively employed and lives in an urban setting.</w:t>
      </w:r>
    </w:p>
    <w:p>
      <w:pPr>
        <w:pStyle w:val="TextBody"/>
        <w:rPr/>
      </w:pPr>
      <w:r>
        <w:rPr/>
        <w:t>There appears to be a crude effect of SES on mortality, where participants that were discharged to either a comfortable or a distressed neighborhood had increased risk of death when compared to those discharged to a prosperous neighborhood. After controlling for other variables there is no association between SES and mortality.</w:t>
      </w:r>
    </w:p>
    <w:p>
      <w:pPr>
        <w:pStyle w:val="TextBody"/>
        <w:rPr/>
      </w:pPr>
      <w:bookmarkStart w:id="17" w:name="conclusions"/>
      <w:r>
        <w:rPr/>
        <w:t>Both early deaths and late deaths appear to occur at similar rates across all neighborhoods.</w:t>
      </w:r>
      <w:bookmarkEnd w:id="17"/>
    </w:p>
    <w:p>
      <w:pPr>
        <w:pStyle w:val="Heading1"/>
        <w:rPr/>
      </w:pPr>
      <w:bookmarkStart w:id="18" w:name="__RefHeading___Toc5543_3727863378"/>
      <w:bookmarkStart w:id="19" w:name="references"/>
      <w:bookmarkEnd w:id="18"/>
      <w:r>
        <w:rPr/>
        <w:t>References</w:t>
      </w:r>
    </w:p>
    <w:p>
      <w:pPr>
        <w:pStyle w:val="Compact"/>
        <w:numPr>
          <w:ilvl w:val="0"/>
          <w:numId w:val="5"/>
        </w:numPr>
        <w:rPr/>
      </w:pPr>
      <w:r>
        <w:rPr>
          <w:b/>
          <w:bCs/>
        </w:rPr>
        <w:t>SAP-2023-004-BH-v01</w:t>
      </w:r>
      <w:r>
        <w:rPr/>
        <w:t xml:space="preserve"> – Analytical Plan for Effect of socioeconomic status of neighborhoods in mortality mortality rates after brain injury: retrospective cohort</w:t>
      </w:r>
    </w:p>
    <w:p>
      <w:pPr>
        <w:pStyle w:val="Compact"/>
        <w:numPr>
          <w:ilvl w:val="0"/>
          <w:numId w:val="6"/>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w:t>
      </w:r>
      <w:bookmarkEnd w:id="19"/>
    </w:p>
    <w:p>
      <w:pPr>
        <w:pStyle w:val="Heading1"/>
        <w:rPr/>
      </w:pPr>
      <w:bookmarkStart w:id="20" w:name="__RefHeading___Toc5545_3727863378"/>
      <w:bookmarkEnd w:id="20"/>
      <w:r>
        <w:rPr/>
        <w:t>Appendix</w:t>
      </w:r>
    </w:p>
    <w:p>
      <w:pPr>
        <w:pStyle w:val="Heading2"/>
        <w:rPr/>
      </w:pPr>
      <w:bookmarkStart w:id="21" w:name="__RefHeading___Toc5547_3727863378"/>
      <w:bookmarkStart w:id="22" w:name="exploratory-data-analysis"/>
      <w:bookmarkEnd w:id="21"/>
      <w:r>
        <w:rPr/>
        <w:t>Exploratory data analysis</w:t>
      </w:r>
    </w:p>
    <w:p>
      <w:pPr>
        <w:pStyle w:val="CaptionedFigure"/>
        <w:rPr/>
      </w:pPr>
      <w:r>
        <w:rPr/>
        <w:drawing>
          <wp:inline distT="0" distB="0" distL="0" distR="0">
            <wp:extent cx="4333240" cy="4333240"/>
            <wp:effectExtent l="0" t="0" r="0" b="0"/>
            <wp:docPr id="5" name="Image3" descr="Figure A1 Distribution of age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Figure A1 Distribution of age in the study population."/>
                    <pic:cNvPicPr>
                      <a:picLocks noChangeAspect="1" noChangeArrowheads="1"/>
                    </pic:cNvPicPr>
                  </pic:nvPicPr>
                  <pic:blipFill>
                    <a:blip r:embed="rId6"/>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Distribution of age in the study population.</w:t>
      </w:r>
    </w:p>
    <w:p>
      <w:pPr>
        <w:pStyle w:val="CaptionedFigure"/>
        <w:rPr/>
      </w:pPr>
      <w:r>
        <w:rPr/>
        <w:drawing>
          <wp:inline distT="0" distB="0" distL="0" distR="0">
            <wp:extent cx="4333240" cy="4333240"/>
            <wp:effectExtent l="0" t="0" r="0" b="0"/>
            <wp:docPr id="6" name="Image4" descr="Figure A2 Distribution of SES in the study pop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Figure A2 Distribution of SES in the study population."/>
                    <pic:cNvPicPr>
                      <a:picLocks noChangeAspect="1" noChangeArrowheads="1"/>
                    </pic:cNvPicPr>
                  </pic:nvPicPr>
                  <pic:blipFill>
                    <a:blip r:embed="rId7"/>
                    <a:stretch>
                      <a:fillRect/>
                    </a:stretch>
                  </pic:blipFill>
                  <pic:spPr bwMode="auto">
                    <a:xfrm>
                      <a:off x="0" y="0"/>
                      <a:ext cx="4333240" cy="4333240"/>
                    </a:xfrm>
                    <a:prstGeom prst="rect">
                      <a:avLst/>
                    </a:prstGeom>
                  </pic:spPr>
                </pic:pic>
              </a:graphicData>
            </a:graphic>
          </wp:inline>
        </w:drawing>
      </w:r>
    </w:p>
    <w:p>
      <w:pPr>
        <w:pStyle w:val="ImageCaption"/>
        <w:rPr/>
      </w:pPr>
      <w:r>
        <w:rPr>
          <w:b/>
          <w:bCs/>
        </w:rPr>
        <w:t>Figure A2</w:t>
      </w:r>
      <w:r>
        <w:rPr/>
        <w:t xml:space="preserve"> Distribution of SES in the study population.</w:t>
      </w:r>
    </w:p>
    <w:p>
      <w:pPr>
        <w:pStyle w:val="CaptionedFigure"/>
        <w:rPr/>
      </w:pPr>
      <w:r>
        <w:rPr/>
        <w:drawing>
          <wp:inline distT="0" distB="0" distL="0" distR="0">
            <wp:extent cx="4333240" cy="4333240"/>
            <wp:effectExtent l="0" t="0" r="0" b="0"/>
            <wp:docPr id="7" name="Image5" descr="Figure A3 Alternative version of 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Figure A3 Alternative version of figure 2."/>
                    <pic:cNvPicPr>
                      <a:picLocks noChangeAspect="1" noChangeArrowheads="1"/>
                    </pic:cNvPicPr>
                  </pic:nvPicPr>
                  <pic:blipFill>
                    <a:blip r:embed="rId8"/>
                    <a:stretch>
                      <a:fillRect/>
                    </a:stretch>
                  </pic:blipFill>
                  <pic:spPr bwMode="auto">
                    <a:xfrm>
                      <a:off x="0" y="0"/>
                      <a:ext cx="4333240" cy="4333240"/>
                    </a:xfrm>
                    <a:prstGeom prst="rect">
                      <a:avLst/>
                    </a:prstGeom>
                  </pic:spPr>
                </pic:pic>
              </a:graphicData>
            </a:graphic>
          </wp:inline>
        </w:drawing>
      </w:r>
    </w:p>
    <w:p>
      <w:pPr>
        <w:pStyle w:val="ImageCaption"/>
        <w:rPr/>
      </w:pPr>
      <w:r>
        <w:rPr>
          <w:b/>
          <w:bCs/>
        </w:rPr>
        <w:t>Figure A3</w:t>
      </w:r>
      <w:r>
        <w:rPr/>
        <w:t xml:space="preserve"> Alternative version of figure 2.</w:t>
      </w:r>
      <w:bookmarkEnd w:id="22"/>
    </w:p>
    <w:p>
      <w:pPr>
        <w:pStyle w:val="Heading2"/>
        <w:rPr/>
      </w:pPr>
      <w:bookmarkStart w:id="23" w:name="__RefHeading___Toc5549_3727863378"/>
      <w:bookmarkEnd w:id="23"/>
      <w:r>
        <w:rPr/>
        <w:t>Modeling strategy</w:t>
      </w:r>
    </w:p>
    <w:p>
      <w:pPr>
        <w:pStyle w:val="CaptionedFigure"/>
        <w:rPr/>
      </w:pPr>
      <w:r>
        <w:rPr/>
        <w:drawing>
          <wp:inline distT="0" distB="0" distL="0" distR="0">
            <wp:extent cx="6108700" cy="3322955"/>
            <wp:effectExtent l="0" t="0" r="0" b="0"/>
            <wp:docPr id="8" name="Image6" descr="Figure A4 Schoenfeld residuals for the fu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Figure A4 Schoenfeld residuals for the full model."/>
                    <pic:cNvPicPr>
                      <a:picLocks noChangeAspect="1" noChangeArrowheads="1"/>
                    </pic:cNvPicPr>
                  </pic:nvPicPr>
                  <pic:blipFill>
                    <a:blip r:embed="rId9"/>
                    <a:stretch>
                      <a:fillRect/>
                    </a:stretch>
                  </pic:blipFill>
                  <pic:spPr bwMode="auto">
                    <a:xfrm>
                      <a:off x="0" y="0"/>
                      <a:ext cx="6108700" cy="3322955"/>
                    </a:xfrm>
                    <a:prstGeom prst="rect">
                      <a:avLst/>
                    </a:prstGeom>
                  </pic:spPr>
                </pic:pic>
              </a:graphicData>
            </a:graphic>
          </wp:inline>
        </w:drawing>
      </w:r>
    </w:p>
    <w:p>
      <w:pPr>
        <w:pStyle w:val="ImageCaption"/>
        <w:rPr/>
      </w:pPr>
      <w:r>
        <w:rPr>
          <w:b/>
          <w:bCs/>
        </w:rPr>
        <w:t>Figure A4</w:t>
      </w:r>
      <w:r>
        <w:rPr/>
        <w:t xml:space="preserve"> Schoenfeld residuals for the full model.</w:t>
      </w:r>
    </w:p>
    <w:p>
      <w:pPr>
        <w:pStyle w:val="TableCaption"/>
        <w:rPr/>
      </w:pPr>
      <w:r>
        <w:rPr>
          <w:b/>
          <w:bCs/>
        </w:rPr>
        <w:t>Table A1</w:t>
      </w:r>
      <w:r>
        <w:rPr/>
        <w:t xml:space="preserve"> Alternative version of Table 2, showing effects from all covariates included in the model.</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425"/>
        <w:gridCol w:w="558"/>
        <w:gridCol w:w="973"/>
        <w:gridCol w:w="910"/>
        <w:gridCol w:w="556"/>
        <w:gridCol w:w="975"/>
        <w:gridCol w:w="908"/>
        <w:gridCol w:w="558"/>
        <w:gridCol w:w="973"/>
        <w:gridCol w:w="909"/>
      </w:tblGrid>
      <w:tr>
        <w:trPr/>
        <w:tc>
          <w:tcPr>
            <w:tcW w:w="242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Characteristic</w:t>
            </w:r>
          </w:p>
        </w:tc>
        <w:tc>
          <w:tcPr>
            <w:tcW w:w="5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5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5"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c>
          <w:tcPr>
            <w:tcW w:w="55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HR</w:t>
            </w:r>
          </w:p>
        </w:tc>
        <w:tc>
          <w:tcPr>
            <w:tcW w:w="973"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95% CI</w:t>
            </w:r>
          </w:p>
        </w:tc>
        <w:tc>
          <w:tcPr>
            <w:tcW w:w="90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p-value</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SES quintiles</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Prosperous</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Comfortable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1.49</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0.930</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 to 1.33</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0.985</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Mid-Tier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0.78 to 1.27</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0.982</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1.46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0.318</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0.79 to 1.47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0.625</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At-Risk</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 to 1.63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0.034</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0.94 to 1.53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0.154</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0.99 to 1.76</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0.058</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Distressed</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1.10 to 1.73</w:t>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0.006</w:t>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1.72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0.018</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0.93 to 1.69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0.139</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Sex:</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Male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Female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0.67</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0.56 to 0.80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0.65</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0.53 to 0.81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What is your race?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White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Black</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0.81</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0.64 to 1.02</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0.83</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0.63 to 1.10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0.193</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Hispanic</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 to 0.83</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0.69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1.02</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0.063</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0.088</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0.75</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0.47 to 1.20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0.227</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Age at injury</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1.05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Substance Problem Use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1.04 to 1.50</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0.017</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1.28</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1.03 to 1.58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0.028</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Education</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Greater Than High School</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Less Than High School</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1.23</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0.98 to 1.54</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0.070</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1.26</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0.97 to 1.64</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0.087</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High School/GED</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1.15 to 1.61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1.05 to 1.59</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0.016</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At time of injury, what was your employment status?</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Employed</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Unemployed</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 to 2.35</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1.71</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1.24 to 2.38</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2.05</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1.67 to 2.51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1.92</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1.51 to 2.45</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Urbanization based on zip code of address at discharge.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Suburban</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Rural</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0.82 to 1.28</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0.89 to 1.51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0.267</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Urban</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1.08</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1.31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0.405</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0.87 to 1.37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0.461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Spinal cord injury:</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No</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Yes</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1.19</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0.85 to 1.67</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0.312</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1.34</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0.90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0.153</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Primary rehabilitation payor: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Insurance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Public Insurance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1.42</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1.18 to 1.71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1.57</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1.25 to 1.97</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1.16</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0.80 to 1.66</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0.434</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1.32</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0.88 to 2.00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0.183</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Residence after rehab discharge: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Private Residence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Other</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1.70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1.44 to 2.01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&lt;0.001</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1.39</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1.12 to 1.71</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0.002</w:t>
            </w:r>
          </w:p>
        </w:tc>
      </w:tr>
      <w:tr>
        <w:trPr/>
        <w:tc>
          <w:tcPr>
            <w:tcW w:w="242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Days From Injury to Rehab Discharge</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910"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r>
          </w:p>
        </w:tc>
        <w:tc>
          <w:tcPr>
            <w:tcW w:w="556"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5"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1.01</w:t>
            </w:r>
          </w:p>
        </w:tc>
        <w:tc>
          <w:tcPr>
            <w:tcW w:w="90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bCs/>
                <w:i w:val="false"/>
                <w:iCs w:val="false"/>
                <w:strike w:val="false"/>
                <w:dstrike w:val="false"/>
                <w:outline w:val="false"/>
                <w:shadow w:val="false"/>
                <w:color w:val="000000"/>
                <w:sz w:val="16"/>
                <w:szCs w:val="16"/>
                <w:u w:val="none"/>
              </w:rPr>
              <w:t>0.009</w:t>
            </w:r>
          </w:p>
        </w:tc>
        <w:tc>
          <w:tcPr>
            <w:tcW w:w="558"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w:t>
            </w:r>
          </w:p>
        </w:tc>
        <w:tc>
          <w:tcPr>
            <w:tcW w:w="973"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r>
              <w:rPr>
                <w:b w:val="false"/>
                <w:bCs w:val="false"/>
                <w:i w:val="false"/>
                <w:iCs w:val="false"/>
                <w:strike w:val="false"/>
                <w:dstrike w:val="false"/>
                <w:outline w:val="false"/>
                <w:shadow w:val="false"/>
                <w:color w:val="000000"/>
                <w:sz w:val="16"/>
                <w:szCs w:val="16"/>
                <w:u w:val="none"/>
              </w:rPr>
              <w:t>1.00 to 1.00</w:t>
            </w:r>
          </w:p>
        </w:tc>
        <w:tc>
          <w:tcPr>
            <w:tcW w:w="90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16"/>
                <w:szCs w:val="16"/>
                <w:u w:val="none"/>
              </w:rPr>
            </w:pPr>
            <w:bookmarkStart w:id="24" w:name="modeling-strategy"/>
            <w:r>
              <w:rPr>
                <w:b w:val="false"/>
                <w:bCs w:val="false"/>
                <w:i w:val="false"/>
                <w:iCs w:val="false"/>
                <w:strike w:val="false"/>
                <w:dstrike w:val="false"/>
                <w:outline w:val="false"/>
                <w:shadow w:val="false"/>
                <w:color w:val="000000"/>
                <w:sz w:val="16"/>
                <w:szCs w:val="16"/>
                <w:u w:val="none"/>
              </w:rPr>
              <w:t>0.396</w:t>
            </w:r>
            <w:bookmarkEnd w:id="24"/>
          </w:p>
        </w:tc>
      </w:tr>
    </w:tbl>
    <w:p>
      <w:pPr>
        <w:pStyle w:val="Heading2"/>
        <w:keepLines/>
        <w:widowControl/>
        <w:numPr>
          <w:ilvl w:val="0"/>
          <w:numId w:val="0"/>
        </w:numPr>
        <w:suppressAutoHyphens w:val="true"/>
        <w:ind w:left="0" w:hanging="0"/>
        <w:jc w:val="left"/>
        <w:rPr/>
      </w:pPr>
      <w:r>
        <w:rPr/>
      </w:r>
      <w:r>
        <w:br w:type="page"/>
      </w:r>
    </w:p>
    <w:p>
      <w:pPr>
        <w:pStyle w:val="Heading2"/>
        <w:rPr/>
      </w:pPr>
      <w:bookmarkStart w:id="25" w:name="__RefHeading___Toc5551_3727863378"/>
      <w:bookmarkEnd w:id="25"/>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rPr/>
      </w:pPr>
      <w:hyperlink r:id="rId10">
        <w:r>
          <w:rPr>
            <w:rStyle w:val="InternetLink"/>
          </w:rPr>
          <w:t>https://philsf-biostat.github.io/SAR-2023-004-BH/</w:t>
        </w:r>
      </w:hyperlink>
    </w:p>
    <w:p>
      <w:pPr>
        <w:pStyle w:val="Heading2"/>
        <w:rPr/>
      </w:pPr>
      <w:bookmarkStart w:id="26" w:name="__RefHeading___Toc5553_3727863378"/>
      <w:bookmarkEnd w:id="26"/>
      <w:r>
        <w:rPr/>
        <w:t>Analytical dataset</w:t>
      </w:r>
    </w:p>
    <w:p>
      <w:pPr>
        <w:pStyle w:val="FirstParagraph"/>
        <w:rPr/>
      </w:pPr>
      <w:r>
        <w:rPr/>
        <w:t>Table A2 shows the structure of the analytical dataset.</w:t>
      </w:r>
    </w:p>
    <w:p>
      <w:pPr>
        <w:pStyle w:val="TableCaption"/>
        <w:rPr/>
      </w:pPr>
      <w:r>
        <w:rPr>
          <w:b/>
          <w:bCs/>
        </w:rPr>
        <w:t>Table A2</w:t>
      </w:r>
      <w:r>
        <w:rPr/>
        <w:t xml:space="preserve"> Analytical dataset structure</w:t>
      </w:r>
    </w:p>
    <w:tbl>
      <w:tblPr>
        <w:tblStyle w:val="Table"/>
        <w:tblW w:w="9746"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251"/>
        <w:gridCol w:w="610"/>
        <w:gridCol w:w="552"/>
        <w:gridCol w:w="370"/>
        <w:gridCol w:w="371"/>
        <w:gridCol w:w="372"/>
        <w:gridCol w:w="311"/>
        <w:gridCol w:w="310"/>
        <w:gridCol w:w="731"/>
        <w:gridCol w:w="672"/>
        <w:gridCol w:w="731"/>
        <w:gridCol w:w="551"/>
        <w:gridCol w:w="670"/>
        <w:gridCol w:w="312"/>
        <w:gridCol w:w="431"/>
        <w:gridCol w:w="552"/>
        <w:gridCol w:w="488"/>
        <w:gridCol w:w="487"/>
        <w:gridCol w:w="486"/>
        <w:gridCol w:w="485"/>
      </w:tblGrid>
      <w:tr>
        <w:trPr/>
        <w:tc>
          <w:tcPr>
            <w:tcW w:w="2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id</w:t>
            </w:r>
          </w:p>
        </w:tc>
        <w:tc>
          <w:tcPr>
            <w:tcW w:w="6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exposure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outcome</w:t>
            </w:r>
          </w:p>
        </w:tc>
        <w:tc>
          <w:tcPr>
            <w:tcW w:w="3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Time</w:t>
            </w:r>
          </w:p>
        </w:tc>
        <w:tc>
          <w:tcPr>
            <w:tcW w:w="37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SexF</w:t>
            </w:r>
          </w:p>
        </w:tc>
        <w:tc>
          <w:tcPr>
            <w:tcW w:w="3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Race</w:t>
            </w:r>
          </w:p>
        </w:tc>
        <w:tc>
          <w:tcPr>
            <w:tcW w:w="31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Mar</w:t>
            </w:r>
          </w:p>
        </w:tc>
        <w:tc>
          <w:tcPr>
            <w:tcW w:w="31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AGE</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PROBLEMUse</w:t>
            </w:r>
          </w:p>
        </w:tc>
        <w:tc>
          <w:tcPr>
            <w:tcW w:w="67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EDUCATION</w:t>
            </w:r>
          </w:p>
        </w:tc>
        <w:tc>
          <w:tcPr>
            <w:tcW w:w="7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EMPLOYMENT</w:t>
            </w:r>
          </w:p>
        </w:tc>
        <w:tc>
          <w:tcPr>
            <w:tcW w:w="55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RURALdc</w:t>
            </w:r>
          </w:p>
        </w:tc>
        <w:tc>
          <w:tcPr>
            <w:tcW w:w="67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PriorSeiz</w:t>
            </w:r>
          </w:p>
        </w:tc>
        <w:tc>
          <w:tcPr>
            <w:tcW w:w="31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SCI</w:t>
            </w:r>
          </w:p>
        </w:tc>
        <w:tc>
          <w:tcPr>
            <w:tcW w:w="43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Cause</w:t>
            </w:r>
          </w:p>
        </w:tc>
        <w:tc>
          <w:tcPr>
            <w:tcW w:w="552"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RehabPay1</w:t>
            </w:r>
          </w:p>
        </w:tc>
        <w:tc>
          <w:tcPr>
            <w:tcW w:w="48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ResDis</w:t>
            </w:r>
          </w:p>
        </w:tc>
        <w:tc>
          <w:tcPr>
            <w:tcW w:w="48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DAYStoREHABdc</w:t>
            </w:r>
          </w:p>
        </w:tc>
        <w:tc>
          <w:tcPr>
            <w:tcW w:w="486"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FIMMOTD</w:t>
            </w:r>
          </w:p>
        </w:tc>
        <w:tc>
          <w:tcPr>
            <w:tcW w:w="485"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Mono" w:hAnsi="Ubuntu Mono"/>
                <w:b/>
                <w:bCs/>
                <w:i w:val="false"/>
                <w:i w:val="false"/>
                <w:iCs w:val="false"/>
                <w:strike w:val="false"/>
                <w:dstrike w:val="false"/>
                <w:outline w:val="false"/>
                <w:shadow w:val="false"/>
                <w:color w:val="000000"/>
                <w:sz w:val="12"/>
                <w:szCs w:val="12"/>
                <w:u w:val="none"/>
              </w:rPr>
            </w:pPr>
            <w:r>
              <w:rPr>
                <w:rFonts w:ascii="Ubuntu Mono" w:hAnsi="Ubuntu Mono"/>
                <w:b/>
                <w:bCs/>
                <w:i w:val="false"/>
                <w:iCs w:val="false"/>
                <w:strike w:val="false"/>
                <w:dstrike w:val="false"/>
                <w:outline w:val="false"/>
                <w:shadow w:val="false"/>
                <w:color w:val="000000"/>
                <w:sz w:val="12"/>
                <w:szCs w:val="12"/>
                <w:u w:val="none"/>
              </w:rPr>
              <w:t>FIMCOGD</w:t>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1</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2</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3</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r>
        <w:trPr/>
        <w:tc>
          <w:tcPr>
            <w:tcW w:w="2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t>N</w:t>
            </w:r>
          </w:p>
        </w:tc>
        <w:tc>
          <w:tcPr>
            <w:tcW w:w="6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7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670"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31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31"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552"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8"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7"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6" w:type="dxa"/>
            <w:tcBorders>
              <w:left w:val="single" w:sz="4" w:space="0" w:color="000000"/>
              <w:bottom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c>
          <w:tcPr>
            <w:tcW w:w="485"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Mono" w:hAnsi="Ubuntu Mono"/>
                <w:b w:val="false"/>
                <w:bCs w:val="false"/>
                <w:i w:val="false"/>
                <w:i w:val="false"/>
                <w:iCs w:val="false"/>
                <w:strike w:val="false"/>
                <w:dstrike w:val="false"/>
                <w:outline w:val="false"/>
                <w:shadow w:val="false"/>
                <w:color w:val="000000"/>
                <w:sz w:val="12"/>
                <w:szCs w:val="12"/>
                <w:u w:val="none"/>
              </w:rPr>
            </w:pPr>
            <w:r>
              <w:rPr>
                <w:rFonts w:ascii="Ubuntu Mono" w:hAnsi="Ubuntu Mono"/>
                <w:b w:val="false"/>
                <w:bCs w:val="false"/>
                <w:i w:val="false"/>
                <w:iCs w:val="false"/>
                <w:strike w:val="false"/>
                <w:dstrike w:val="false"/>
                <w:outline w:val="false"/>
                <w:shadow w:val="false"/>
                <w:color w:val="000000"/>
                <w:sz w:val="12"/>
                <w:szCs w:val="12"/>
                <w:u w:val="none"/>
              </w:rPr>
            </w:r>
          </w:p>
        </w:tc>
      </w:tr>
    </w:tbl>
    <w:p>
      <w:pPr>
        <w:pStyle w:val="TextBody"/>
        <w:spacing w:before="180" w:after="180"/>
        <w:rPr/>
      </w:pPr>
      <w:bookmarkStart w:id="27" w:name="analytical-dataset"/>
      <w:bookmarkStart w:id="28" w:name="appendix"/>
      <w:r>
        <w:rPr/>
        <w:t>Due to confidentiality the data-set used in this analysis cannot be shared online in the public version of this report.</w:t>
      </w:r>
      <w:bookmarkEnd w:id="27"/>
      <w:bookmarkEnd w:id="28"/>
    </w:p>
    <w:sectPr>
      <w:headerReference w:type="default" r:id="rId11"/>
      <w:footerReference w:type="default" r:id="rId12"/>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DejaVu Sans">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10"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2"/>
      <w:gridCol w:w="637"/>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2" w:type="dxa"/>
          <w:tcBorders/>
          <w:vAlign w:val="center"/>
        </w:tcPr>
        <w:p>
          <w:pPr>
            <w:pStyle w:val="CabealhoeRodap"/>
            <w:widowControl w:val="false"/>
            <w:jc w:val="center"/>
            <w:rPr>
              <w:lang w:val="en-US" w:eastAsia="en-US" w:bidi="ar-SA"/>
            </w:rPr>
          </w:pPr>
          <w:r>
            <w:rPr>
              <w:lang w:val="en-US" w:eastAsia="en-US" w:bidi="ar-SA"/>
            </w:rPr>
          </w:r>
        </w:p>
      </w:tc>
      <w:tc>
        <w:tcPr>
          <w:tcW w:w="637"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17</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17</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6005" cy="34925"/>
              <wp:effectExtent l="0" t="0" r="0" b="0"/>
              <wp:docPr id="9" name="Shape3"/>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3"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2"/>
  </w:num>
  <w:num w:numId="6">
    <w:abstractNumId w:val="2"/>
  </w:num>
</w:numbering>
</file>

<file path=word/settings.xml><?xml version="1.0" encoding="utf-8"?>
<w:settings xmlns:w="http://schemas.openxmlformats.org/wordprocessingml/2006/main">
  <w:zoom w:percent="8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www.equator-network.org/" TargetMode="External"/><Relationship Id="rId5" Type="http://schemas.openxmlformats.org/officeDocument/2006/relationships/hyperlink" Target="https://doi.org/10.1016/j.ijsu.2014.07.01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yperlink" Target="https://philsf-biostat.github.io/SAR-2023-004-BH/"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Application>LibreOffice/7.5.0.3$Linux_X86_64 LibreOffice_project/50$Build-3</Application>
  <AppVersion>15.0000</AppVersion>
  <Pages>17</Pages>
  <Words>2013</Words>
  <Characters>10527</Characters>
  <CharactersWithSpaces>12093</CharactersWithSpaces>
  <Paragraphs>545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2023-02-24T17:52:11Z</dcterms:created>
  <dc:creator>From: Felipe Figueiredo To: Brennan Hickson</dc:creator>
  <dc:description/>
  <dc:language>pt-BR</dc:language>
  <cp:lastModifiedBy/>
  <dcterms:modified xsi:type="dcterms:W3CDTF">2023-02-24T15:09:04Z</dcterms:modified>
  <cp:revision>6</cp:revision>
  <dc:subject/>
  <dc:title>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`2023-02-10</vt:lpwstr>
  </property>
  <property fmtid="{D5CDD505-2E9C-101B-9397-08002B2CF9AE}" pid="3" name="output">
    <vt:lpwstr/>
  </property>
  <property fmtid="{D5CDD505-2E9C-101B-9397-08002B2CF9AE}" pid="4" name="subtitle">
    <vt:lpwstr>DOCUMENT: SAR-2023-004-BH-v01</vt:lpwstr>
  </property>
</Properties>
</file>