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3990_1181794755">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992_1181794755">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3994_1181794755">
            <w:r>
              <w:rPr>
                <w:webHidden/>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3996_1181794755">
            <w:r>
              <w:rPr>
                <w:webHidden/>
                <w:rStyle w:val="IndexLink"/>
              </w:rPr>
              <w:t xml:space="preserve"> </w:t>
            </w:r>
            <w:r>
              <w:rPr>
                <w:rStyle w:val="IndexLink"/>
              </w:rPr>
              <w:t>3 Methods</w:t>
              <w:tab/>
              <w:t>2</w:t>
            </w:r>
          </w:hyperlink>
        </w:p>
        <w:p>
          <w:pPr>
            <w:pStyle w:val="Contents1"/>
            <w:tabs>
              <w:tab w:val="clear" w:pos="9360"/>
              <w:tab w:val="right" w:pos="9638" w:leader="dot"/>
            </w:tabs>
            <w:rPr/>
          </w:pPr>
          <w:hyperlink w:anchor="__RefHeading___Toc3998_1181794755">
            <w:r>
              <w:rPr>
                <w:webHidden/>
                <w:rStyle w:val="IndexLink"/>
              </w:rPr>
              <w:t xml:space="preserve"> </w:t>
            </w:r>
            <w:r>
              <w:rPr>
                <w:rStyle w:val="IndexLink"/>
              </w:rPr>
              <w:t>4 Results</w:t>
              <w:tab/>
              <w:t>2</w:t>
            </w:r>
          </w:hyperlink>
        </w:p>
        <w:p>
          <w:pPr>
            <w:pStyle w:val="Contents2"/>
            <w:tabs>
              <w:tab w:val="clear" w:pos="9077"/>
              <w:tab w:val="right" w:pos="9638" w:leader="dot"/>
            </w:tabs>
            <w:rPr/>
          </w:pPr>
          <w:hyperlink w:anchor="__RefHeading___Toc4000_1181794755">
            <w:r>
              <w:rPr>
                <w:webHidden/>
                <w:rStyle w:val="IndexLink"/>
              </w:rPr>
              <w:t xml:space="preserve"> </w:t>
            </w:r>
            <w:r>
              <w:rPr>
                <w:rStyle w:val="IndexLink"/>
              </w:rPr>
              <w:t>4.1 Study population and follow up</w:t>
              <w:tab/>
              <w:t>2</w:t>
            </w:r>
          </w:hyperlink>
        </w:p>
        <w:p>
          <w:pPr>
            <w:pStyle w:val="Contents2"/>
            <w:tabs>
              <w:tab w:val="clear" w:pos="9077"/>
              <w:tab w:val="right" w:pos="9638" w:leader="dot"/>
            </w:tabs>
            <w:rPr/>
          </w:pPr>
          <w:hyperlink w:anchor="__RefHeading___Toc4002_1181794755">
            <w:r>
              <w:rPr>
                <w:webHidden/>
                <w:rStyle w:val="IndexLink"/>
              </w:rPr>
              <w:t xml:space="preserve"> </w:t>
            </w:r>
            <w:r>
              <w:rPr>
                <w:rStyle w:val="IndexLink"/>
              </w:rPr>
              <w:t>4.2 Effect of SES on mortality</w:t>
              <w:tab/>
              <w:t>8</w:t>
            </w:r>
          </w:hyperlink>
        </w:p>
        <w:p>
          <w:pPr>
            <w:pStyle w:val="Contents1"/>
            <w:tabs>
              <w:tab w:val="clear" w:pos="9360"/>
              <w:tab w:val="right" w:pos="9638" w:leader="dot"/>
            </w:tabs>
            <w:rPr/>
          </w:pPr>
          <w:hyperlink w:anchor="__RefHeading___Toc4004_1181794755">
            <w:r>
              <w:rPr>
                <w:webHidden/>
                <w:rStyle w:val="IndexLink"/>
              </w:rPr>
              <w:t xml:space="preserve"> </w:t>
            </w:r>
            <w:r>
              <w:rPr>
                <w:rStyle w:val="IndexLink"/>
              </w:rPr>
              <w:t>5 Observations and Limitations</w:t>
              <w:tab/>
              <w:t>10</w:t>
            </w:r>
          </w:hyperlink>
        </w:p>
        <w:p>
          <w:pPr>
            <w:pStyle w:val="Contents1"/>
            <w:tabs>
              <w:tab w:val="clear" w:pos="9360"/>
              <w:tab w:val="right" w:pos="9638" w:leader="dot"/>
            </w:tabs>
            <w:rPr/>
          </w:pPr>
          <w:hyperlink w:anchor="__RefHeading___Toc4006_1181794755">
            <w:r>
              <w:rPr>
                <w:webHidden/>
                <w:rStyle w:val="IndexLink"/>
              </w:rPr>
              <w:t xml:space="preserve"> </w:t>
            </w:r>
            <w:r>
              <w:rPr>
                <w:rStyle w:val="IndexLink"/>
              </w:rPr>
              <w:t>6 Conclusions</w:t>
              <w:tab/>
              <w:t>10</w:t>
            </w:r>
          </w:hyperlink>
        </w:p>
        <w:p>
          <w:pPr>
            <w:pStyle w:val="Contents1"/>
            <w:tabs>
              <w:tab w:val="clear" w:pos="9360"/>
              <w:tab w:val="right" w:pos="9638" w:leader="dot"/>
            </w:tabs>
            <w:rPr/>
          </w:pPr>
          <w:hyperlink w:anchor="__RefHeading___Toc4008_1181794755">
            <w:r>
              <w:rPr>
                <w:webHidden/>
                <w:rStyle w:val="IndexLink"/>
              </w:rPr>
              <w:t xml:space="preserve"> </w:t>
            </w:r>
            <w:r>
              <w:rPr>
                <w:rStyle w:val="IndexLink"/>
              </w:rPr>
              <w:t>7 References</w:t>
              <w:tab/>
              <w:t>10</w:t>
            </w:r>
          </w:hyperlink>
        </w:p>
        <w:p>
          <w:pPr>
            <w:pStyle w:val="Contents1"/>
            <w:tabs>
              <w:tab w:val="clear" w:pos="9360"/>
              <w:tab w:val="right" w:pos="9638" w:leader="dot"/>
            </w:tabs>
            <w:rPr/>
          </w:pPr>
          <w:hyperlink w:anchor="__RefHeading___Toc4010_1181794755">
            <w:r>
              <w:rPr>
                <w:webHidden/>
                <w:rStyle w:val="IndexLink"/>
              </w:rPr>
              <w:t xml:space="preserve"> </w:t>
            </w:r>
            <w:r>
              <w:rPr>
                <w:rStyle w:val="IndexLink"/>
              </w:rPr>
              <w:t>8 Appendix</w:t>
              <w:tab/>
              <w:t>11</w:t>
            </w:r>
          </w:hyperlink>
        </w:p>
        <w:p>
          <w:pPr>
            <w:pStyle w:val="Contents2"/>
            <w:tabs>
              <w:tab w:val="clear" w:pos="9077"/>
              <w:tab w:val="right" w:pos="9638" w:leader="dot"/>
            </w:tabs>
            <w:rPr/>
          </w:pPr>
          <w:hyperlink w:anchor="__RefHeading___Toc4012_1181794755">
            <w:r>
              <w:rPr>
                <w:webHidden/>
                <w:rStyle w:val="IndexLink"/>
              </w:rPr>
              <w:t xml:space="preserve"> </w:t>
            </w:r>
            <w:r>
              <w:rPr>
                <w:rStyle w:val="IndexLink"/>
              </w:rPr>
              <w:t>8.1 Exploratory data analysis</w:t>
              <w:tab/>
              <w:t>11</w:t>
            </w:r>
          </w:hyperlink>
        </w:p>
        <w:p>
          <w:pPr>
            <w:pStyle w:val="Contents2"/>
            <w:tabs>
              <w:tab w:val="clear" w:pos="9077"/>
              <w:tab w:val="right" w:pos="9638" w:leader="dot"/>
            </w:tabs>
            <w:rPr/>
          </w:pPr>
          <w:hyperlink w:anchor="__RefHeading___Toc4014_1181794755">
            <w:r>
              <w:rPr>
                <w:webHidden/>
                <w:rStyle w:val="IndexLink"/>
              </w:rPr>
              <w:t xml:space="preserve"> </w:t>
            </w:r>
            <w:r>
              <w:rPr>
                <w:rStyle w:val="IndexLink"/>
              </w:rPr>
              <w:t>8.2 Modeling strategy</w:t>
              <w:tab/>
              <w:t>14</w:t>
            </w:r>
          </w:hyperlink>
        </w:p>
        <w:p>
          <w:pPr>
            <w:pStyle w:val="Contents2"/>
            <w:tabs>
              <w:tab w:val="clear" w:pos="9077"/>
              <w:tab w:val="right" w:pos="9638" w:leader="dot"/>
            </w:tabs>
            <w:rPr/>
          </w:pPr>
          <w:hyperlink w:anchor="__RefHeading___Toc4016_1181794755">
            <w:r>
              <w:rPr>
                <w:webHidden/>
                <w:rStyle w:val="IndexLink"/>
              </w:rPr>
              <w:t xml:space="preserve"> </w:t>
            </w:r>
            <w:r>
              <w:rPr>
                <w:rStyle w:val="IndexLink"/>
              </w:rPr>
              <w:t>8.3 Availability</w:t>
              <w:tab/>
              <w:t>17</w:t>
            </w:r>
          </w:hyperlink>
        </w:p>
        <w:p>
          <w:pPr>
            <w:pStyle w:val="Contents2"/>
            <w:tabs>
              <w:tab w:val="clear" w:pos="9077"/>
              <w:tab w:val="right" w:pos="9638" w:leader="dot"/>
            </w:tabs>
            <w:rPr/>
          </w:pPr>
          <w:hyperlink w:anchor="__RefHeading___Toc4018_1181794755">
            <w:r>
              <w:rPr>
                <w:webHidden/>
                <w:rStyle w:val="IndexLink"/>
              </w:rPr>
              <w:t xml:space="preserve"> </w:t>
            </w:r>
            <w:r>
              <w:rPr>
                <w:rStyle w:val="IndexLink"/>
              </w:rPr>
              <w:t>8.4 Analytical dataset</w:t>
              <w:tab/>
              <w:t>17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3990_1181794755"/>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2" w:name="abbreviations"/>
      <w:r>
        <w:rPr/>
        <w:t>SES: socioeconomic status</w:t>
      </w:r>
      <w:bookmarkEnd w:id="2"/>
    </w:p>
    <w:p>
      <w:pPr>
        <w:pStyle w:val="Heading1"/>
        <w:rPr/>
      </w:pPr>
      <w:bookmarkStart w:id="3" w:name="__RefHeading___Toc3992_1181794755"/>
      <w:bookmarkStart w:id="4" w:name="context"/>
      <w:bookmarkEnd w:id="3"/>
      <w:r>
        <w:rPr/>
        <w:t>Context</w:t>
      </w:r>
    </w:p>
    <w:p>
      <w:pPr>
        <w:pStyle w:val="Heading2"/>
        <w:rPr/>
      </w:pPr>
      <w:bookmarkStart w:id="5" w:name="__RefHeading___Toc3994_1181794755"/>
      <w:bookmarkStart w:id="6" w:name="objectives"/>
      <w:bookmarkEnd w:id="5"/>
      <w:r>
        <w:rPr/>
        <w:t>Objectives</w:t>
      </w:r>
    </w:p>
    <w:p>
      <w:pPr>
        <w:pStyle w:val="FirstParagraph"/>
        <w:rPr/>
      </w:pPr>
      <w:bookmarkStart w:id="7" w:name="context"/>
      <w:bookmarkStart w:id="8" w:name="objectives"/>
      <w:r>
        <w:rPr/>
        <w:t>To determine the effect of socioeconomic status of the neighborhood on mortality of patients with brain injury.</w:t>
      </w:r>
      <w:bookmarkEnd w:id="7"/>
      <w:bookmarkEnd w:id="8"/>
    </w:p>
    <w:p>
      <w:pPr>
        <w:pStyle w:val="Heading1"/>
        <w:rPr/>
      </w:pPr>
      <w:bookmarkStart w:id="9" w:name="__RefHeading___Toc3996_1181794755"/>
      <w:bookmarkStart w:id="10" w:name="methods"/>
      <w:bookmarkEnd w:id="9"/>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4.2.3.</w:t>
      </w:r>
      <w:bookmarkEnd w:id="10"/>
    </w:p>
    <w:p>
      <w:pPr>
        <w:pStyle w:val="Heading1"/>
        <w:rPr/>
      </w:pPr>
      <w:bookmarkStart w:id="11" w:name="__RefHeading___Toc3998_1181794755"/>
      <w:bookmarkStart w:id="12" w:name="results"/>
      <w:bookmarkEnd w:id="11"/>
      <w:r>
        <w:rPr/>
        <w:t>Results</w:t>
      </w:r>
    </w:p>
    <w:p>
      <w:pPr>
        <w:pStyle w:val="Heading2"/>
        <w:rPr/>
      </w:pPr>
      <w:bookmarkStart w:id="13" w:name="__RefHeading___Toc4000_1181794755"/>
      <w:bookmarkStart w:id="14" w:name="study-population-and-follow-up"/>
      <w:bookmarkEnd w:id="13"/>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51,308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p>
      <w:pPr>
        <w:pStyle w:val="TableCaption"/>
        <w:keepNext w:val="true"/>
        <w:pBdr/>
        <w:spacing w:lineRule="exact" w:line="240" w:before="60" w:after="60"/>
        <w:ind w:left="60" w:right="60" w:hanging="0"/>
        <w:jc w:val="center"/>
        <w:rPr/>
      </w:pPr>
      <w:r>
        <w:rPr>
          <w:b/>
          <w:bCs/>
        </w:rPr>
        <w:t>Table 1</w:t>
      </w:r>
      <w:r>
        <w:rPr/>
        <w:t xml:space="preserve"> Epidemiological, demographic and clinical characteristics of study participants.</w:t>
      </w:r>
    </w:p>
    <w:tbl>
      <w:tblPr>
        <w:tblW w:w="7580" w:type="dxa"/>
        <w:jc w:val="center"/>
        <w:tblInd w:w="0" w:type="dxa"/>
        <w:tblLayout w:type="fixed"/>
        <w:tblCellMar>
          <w:top w:w="0" w:type="dxa"/>
          <w:left w:w="0" w:type="dxa"/>
          <w:bottom w:w="0" w:type="dxa"/>
          <w:right w:w="0" w:type="dxa"/>
        </w:tblCellMar>
        <w:tblLook w:noHBand="0" w:noVBand="1" w:firstColumn="0" w:lastRow="0" w:lastColumn="0" w:firstRow="1"/>
      </w:tblPr>
      <w:tblGrid>
        <w:gridCol w:w="6701"/>
        <w:gridCol w:w="879"/>
      </w:tblGrid>
      <w:tr>
        <w:trPr>
          <w:tblHeader w:val="true"/>
          <w:trHeight w:val="602" w:hRule="atLeast"/>
        </w:trPr>
        <w:tc>
          <w:tcPr>
            <w:tcW w:w="670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Characteristic</w:t>
            </w:r>
          </w:p>
        </w:tc>
        <w:tc>
          <w:tcPr>
            <w:tcW w:w="879"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N = 7,415</w:t>
            </w:r>
          </w:p>
        </w:tc>
      </w:tr>
      <w:tr>
        <w:trPr>
          <w:trHeight w:val="624" w:hRule="atLeast"/>
        </w:trPr>
        <w:tc>
          <w:tcPr>
            <w:tcW w:w="6701" w:type="dxa"/>
            <w:tcBorders>
              <w:top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SES quintiles, n (%)</w:t>
            </w:r>
          </w:p>
        </w:tc>
        <w:tc>
          <w:tcPr>
            <w:tcW w:w="879"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1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Prosperous</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1,352 (22%)</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Comfortable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1,239 (20%)</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Mid-Tier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1,124 (18%)</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At-Risk</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1,168 (19%)</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Distressed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1,194 (20%)</w:t>
            </w:r>
          </w:p>
        </w:tc>
      </w:tr>
      <w:tr>
        <w:trPr>
          <w:trHeight w:val="600"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1,338</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Mortality, n (%)</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1,004 (14%)</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Time of follow up (years), Mean (SD)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3.05 (1.94)</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Sex:,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Male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5,421 (73%)</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Female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1,988 (27%)</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6</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What is your race?,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White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4,941 (67%)</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Black</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1,144 (15%)</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Hispanic</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952 (13%)</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368 (5.0%)</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10</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What is your marital status?,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Single (Never Married)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3,170 (43%)</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Married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2,595 (35%)</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Divorced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921 (12%)</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Separated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244 (3.3%)</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Widowed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454 (6.1%)</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15 (0.2%)</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16</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Age at injury, Mean (SD)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31 (20)</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19</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Substance Problem Use, n (%)</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2,691 (38%)</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264</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Education,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Greater Than High School</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3,366 (46%)</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Less Than High School</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1,380 (19%)</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High School/GED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2,615 (36%)</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54</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At time of injury, what was your employment status?,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Employed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4,377 (59%)</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Unemployed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795 (11%)</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2,209 (30%)</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34</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Urbanization based on zip code of address at discharge.,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Suburban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2,191 (30%)</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Rural</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1,635 (22%)</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Urban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3,466 (48%)</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123</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Prior to this injury, has a physician ever told you that you have a seizure disorder?, n (%)</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52 (5.6%)</w:t>
            </w:r>
          </w:p>
        </w:tc>
      </w:tr>
      <w:tr>
        <w:trPr>
          <w:trHeight w:val="600"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6,488</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Spinal cord injury:, n (%)</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434 (5.9%)</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19</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Cause of injury:,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Vehicular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3,327 (45%)</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Violence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650 (8.8%)</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Falls</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2,544 (34%)</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873 (12%)</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21</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Primary rehabilitation payor:,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Private Insurance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3,872 (52%)</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Public Insurance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2,916 (39%)</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600 (8.1%)</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27</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Residence after rehab discharge:, n (%)</w:t>
            </w:r>
          </w:p>
        </w:tc>
        <w:tc>
          <w:tcPr>
            <w:tcW w:w="879" w:type="dxa"/>
            <w:tcBorders/>
            <w:shd w:color="auto" w:fill="FFFFFF" w:val="clear"/>
          </w:tcPr>
          <w:p>
            <w:pPr>
              <w:pStyle w:val="Normal"/>
              <w:widowControl w:val="false"/>
              <w:pBdr/>
              <w:spacing w:lineRule="exact" w:line="240" w:before="0" w:after="0"/>
              <w:ind w:left="100" w:right="100" w:hanging="0"/>
              <w:jc w:val="center"/>
              <w:rPr>
                <w:rFonts w:ascii="Ubuntu" w:hAnsi="Ubuntu"/>
                <w:sz w:val="16"/>
                <w:szCs w:val="16"/>
              </w:rPr>
            </w:pPr>
            <w:r>
              <w:rPr>
                <w:rFonts w:ascii="Ubuntu" w:hAnsi="Ubuntu"/>
                <w:sz w:val="16"/>
                <w:szCs w:val="16"/>
              </w:rPr>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Private Residence</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5,857 (79%)</w:t>
            </w:r>
          </w:p>
        </w:tc>
      </w:tr>
      <w:tr>
        <w:trPr>
          <w:trHeight w:val="607"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Other</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1,537 (21%)</w:t>
            </w:r>
          </w:p>
        </w:tc>
      </w:tr>
      <w:tr>
        <w:trPr>
          <w:trHeight w:val="581"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Unknown</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21</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Days From Injury to Rehab Discharge, Mean (SD)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44 (35)</w:t>
            </w:r>
          </w:p>
        </w:tc>
      </w:tr>
      <w:tr>
        <w:trPr>
          <w:trHeight w:val="624" w:hRule="atLeast"/>
        </w:trPr>
        <w:tc>
          <w:tcPr>
            <w:tcW w:w="6701"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FIM Motor at Discharge:, Mean (SD)</w:t>
            </w:r>
          </w:p>
        </w:tc>
        <w:tc>
          <w:tcPr>
            <w:tcW w:w="879" w:type="dxa"/>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52 (18)</w:t>
            </w:r>
          </w:p>
        </w:tc>
      </w:tr>
      <w:tr>
        <w:trPr>
          <w:trHeight w:val="624" w:hRule="atLeast"/>
        </w:trPr>
        <w:tc>
          <w:tcPr>
            <w:tcW w:w="6701"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i w:val="false"/>
                <w:color w:val="000000"/>
                <w:sz w:val="16"/>
                <w:szCs w:val="16"/>
                <w:u w:val="none"/>
              </w:rPr>
              <w:t>FIM Cognitive at Discharge:, Mean (SD)</w:t>
            </w:r>
          </w:p>
        </w:tc>
        <w:tc>
          <w:tcPr>
            <w:tcW w:w="879"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6"/>
                <w:szCs w:val="16"/>
              </w:rPr>
            </w:pPr>
            <w:r>
              <w:rPr>
                <w:rFonts w:eastAsia="DejaVu Sans" w:cs="DejaVu Sans" w:ascii="Ubuntu" w:hAnsi="Ubuntu"/>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4"/>
    </w:p>
    <w:p>
      <w:pPr>
        <w:pStyle w:val="Heading2"/>
        <w:rPr/>
      </w:pPr>
      <w:bookmarkStart w:id="15" w:name="__RefHeading___Toc4002_1181794755"/>
      <w:bookmarkStart w:id="16" w:name="effect-of-ses-on-mortality"/>
      <w:bookmarkEnd w:id="15"/>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p>
    <w:p>
      <w:pPr>
        <w:pStyle w:val="TableCaption"/>
        <w:keepNext w:val="true"/>
        <w:pBdr/>
        <w:spacing w:lineRule="exact" w:line="240" w:before="60" w:after="60"/>
        <w:ind w:left="60" w:right="60" w:hanging="0"/>
        <w:jc w:val="center"/>
        <w:rPr/>
      </w:pPr>
      <w:r>
        <w:rPr>
          <w:b/>
          <w:bCs/>
        </w:rPr>
        <w:t>Table 2</w:t>
      </w:r>
      <w:r>
        <w:rPr/>
        <w:t xml:space="preserve"> Effect of SES on mortality; HR estimates were adjusted for sex, race, age, substance abuse, education, employment status, urbanization, spinal cord injury, rehabilitation payer, residence after rehab discharge </w:t>
      </w:r>
      <w:r>
        <w:rPr/>
        <w:t xml:space="preserve">and </w:t>
      </w:r>
      <w:r>
        <w:rPr/>
        <w:t>days from injury to discharge.</w:t>
      </w:r>
    </w:p>
    <w:tbl>
      <w:tblPr>
        <w:tblW w:w="9637" w:type="dxa"/>
        <w:jc w:val="center"/>
        <w:tblInd w:w="0" w:type="dxa"/>
        <w:tblLayout w:type="fixed"/>
        <w:tblCellMar>
          <w:top w:w="0" w:type="dxa"/>
          <w:left w:w="0" w:type="dxa"/>
          <w:bottom w:w="0" w:type="dxa"/>
          <w:right w:w="0" w:type="dxa"/>
        </w:tblCellMar>
        <w:tblLook w:noHBand="0" w:noVBand="1" w:firstColumn="0" w:lastRow="0" w:lastColumn="0" w:firstRow="1"/>
      </w:tblPr>
      <w:tblGrid>
        <w:gridCol w:w="989"/>
        <w:gridCol w:w="533"/>
        <w:gridCol w:w="601"/>
        <w:gridCol w:w="1214"/>
        <w:gridCol w:w="891"/>
        <w:gridCol w:w="40"/>
        <w:gridCol w:w="560"/>
        <w:gridCol w:w="1214"/>
        <w:gridCol w:w="424"/>
        <w:gridCol w:w="465"/>
        <w:gridCol w:w="601"/>
        <w:gridCol w:w="1214"/>
        <w:gridCol w:w="891"/>
      </w:tblGrid>
      <w:tr>
        <w:trPr>
          <w:tblHeader w:val="true"/>
          <w:trHeight w:val="624" w:hRule="atLeast"/>
        </w:trPr>
        <w:tc>
          <w:tcPr>
            <w:tcW w:w="989"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eastAsia="DejaVu Sans" w:cs="DejaVu Sans"/>
                <w:b w:val="false"/>
                <w:i w:val="false"/>
                <w:i w:val="false"/>
                <w:color w:val="000000"/>
                <w:u w:val="none"/>
              </w:rPr>
            </w:pPr>
            <w:r>
              <w:rPr>
                <w:rFonts w:ascii="Ubuntu" w:hAnsi="Ubuntu"/>
                <w:sz w:val="16"/>
                <w:szCs w:val="16"/>
              </w:rPr>
            </w:r>
          </w:p>
        </w:tc>
        <w:tc>
          <w:tcPr>
            <w:tcW w:w="3279" w:type="dxa"/>
            <w:gridSpan w:val="5"/>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Crude estimate</w:t>
            </w:r>
          </w:p>
        </w:tc>
        <w:tc>
          <w:tcPr>
            <w:tcW w:w="2198" w:type="dxa"/>
            <w:gridSpan w:val="3"/>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Adjusted estimate</w:t>
            </w:r>
          </w:p>
        </w:tc>
        <w:tc>
          <w:tcPr>
            <w:tcW w:w="3171" w:type="dxa"/>
            <w:gridSpan w:val="4"/>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Late deaths</w:t>
            </w:r>
          </w:p>
        </w:tc>
      </w:tr>
      <w:tr>
        <w:trPr>
          <w:tblHeader w:val="true"/>
          <w:trHeight w:val="624" w:hRule="atLeast"/>
        </w:trPr>
        <w:tc>
          <w:tcPr>
            <w:tcW w:w="1522" w:type="dxa"/>
            <w:gridSpan w:val="2"/>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left"/>
              <w:rPr>
                <w:rFonts w:ascii="Ubuntu" w:hAnsi="Ubuntu"/>
                <w:sz w:val="16"/>
                <w:szCs w:val="16"/>
              </w:rPr>
            </w:pPr>
            <w:r>
              <w:rPr>
                <w:rFonts w:eastAsia="DejaVu Sans" w:cs="DejaVu Sans" w:ascii="Ubuntu" w:hAnsi="Ubuntu"/>
                <w:b/>
                <w:i w:val="false"/>
                <w:color w:val="000000"/>
                <w:sz w:val="16"/>
                <w:szCs w:val="16"/>
                <w:u w:val="none"/>
              </w:rPr>
              <w:t>Characteristic</w:t>
            </w:r>
          </w:p>
        </w:tc>
        <w:tc>
          <w:tcPr>
            <w:tcW w:w="60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HR</w:t>
            </w:r>
            <w:r>
              <w:rPr>
                <w:rFonts w:eastAsia="DejaVu Sans" w:cs="DejaVu Sans" w:ascii="Ubuntu" w:hAnsi="Ubuntu"/>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95% CI</w:t>
            </w:r>
            <w:r>
              <w:rPr>
                <w:rFonts w:eastAsia="DejaVu Sans" w:cs="DejaVu Sans" w:ascii="Ubuntu" w:hAnsi="Ubuntu"/>
                <w:b w:val="false"/>
                <w:i w:val="false"/>
                <w:color w:val="000000"/>
                <w:sz w:val="16"/>
                <w:szCs w:val="16"/>
                <w:u w:val="none"/>
                <w:vertAlign w:val="superscript"/>
              </w:rPr>
              <w:t>1</w:t>
            </w:r>
          </w:p>
        </w:tc>
        <w:tc>
          <w:tcPr>
            <w:tcW w:w="89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p-value</w:t>
            </w:r>
          </w:p>
        </w:tc>
        <w:tc>
          <w:tcPr>
            <w:tcW w:w="600" w:type="dxa"/>
            <w:gridSpan w:val="2"/>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HR</w:t>
            </w:r>
            <w:r>
              <w:rPr>
                <w:rFonts w:eastAsia="DejaVu Sans" w:cs="DejaVu Sans" w:ascii="Ubuntu" w:hAnsi="Ubuntu"/>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95% CI</w:t>
            </w:r>
            <w:r>
              <w:rPr>
                <w:rFonts w:eastAsia="DejaVu Sans" w:cs="DejaVu Sans" w:ascii="Ubuntu" w:hAnsi="Ubuntu"/>
                <w:b w:val="false"/>
                <w:i w:val="false"/>
                <w:color w:val="000000"/>
                <w:sz w:val="16"/>
                <w:szCs w:val="16"/>
                <w:u w:val="none"/>
                <w:vertAlign w:val="superscript"/>
              </w:rPr>
              <w:t>1</w:t>
            </w:r>
          </w:p>
        </w:tc>
        <w:tc>
          <w:tcPr>
            <w:tcW w:w="889" w:type="dxa"/>
            <w:gridSpan w:val="2"/>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HR</w:t>
            </w:r>
            <w:r>
              <w:rPr>
                <w:rFonts w:eastAsia="DejaVu Sans" w:cs="DejaVu Sans" w:ascii="Ubuntu" w:hAnsi="Ubuntu"/>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95% CI</w:t>
            </w:r>
            <w:r>
              <w:rPr>
                <w:rFonts w:eastAsia="DejaVu Sans" w:cs="DejaVu Sans" w:ascii="Ubuntu" w:hAnsi="Ubuntu"/>
                <w:b w:val="false"/>
                <w:i w:val="false"/>
                <w:color w:val="000000"/>
                <w:sz w:val="16"/>
                <w:szCs w:val="16"/>
                <w:u w:val="none"/>
                <w:vertAlign w:val="superscript"/>
              </w:rPr>
              <w:t>1</w:t>
            </w:r>
          </w:p>
        </w:tc>
        <w:tc>
          <w:tcPr>
            <w:tcW w:w="89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p-value</w:t>
            </w:r>
          </w:p>
        </w:tc>
      </w:tr>
      <w:tr>
        <w:trPr>
          <w:trHeight w:val="624" w:hRule="atLeast"/>
        </w:trPr>
        <w:tc>
          <w:tcPr>
            <w:tcW w:w="1522" w:type="dxa"/>
            <w:gridSpan w:val="2"/>
            <w:tcBorders>
              <w:top w:val="single" w:sz="8" w:space="0" w:color="000000"/>
            </w:tcBorders>
            <w:shd w:color="auto" w:fill="FFFFFF" w:val="clear"/>
          </w:tcPr>
          <w:p>
            <w:pPr>
              <w:pStyle w:val="Normal"/>
              <w:widowControl w:val="false"/>
              <w:pBdr/>
              <w:spacing w:lineRule="auto" w:line="240" w:before="0" w:after="0"/>
              <w:ind w:left="100" w:right="100" w:hanging="0"/>
              <w:jc w:val="left"/>
              <w:rPr>
                <w:rFonts w:ascii="Ubuntu" w:hAnsi="Ubuntu"/>
                <w:sz w:val="16"/>
                <w:szCs w:val="16"/>
              </w:rPr>
            </w:pPr>
            <w:r>
              <w:rPr>
                <w:rFonts w:eastAsia="DejaVu Sans" w:cs="DejaVu Sans" w:ascii="Ubuntu" w:hAnsi="Ubuntu"/>
                <w:b/>
                <w:i w:val="false"/>
                <w:color w:val="000000"/>
                <w:sz w:val="16"/>
                <w:szCs w:val="16"/>
                <w:u w:val="none"/>
              </w:rPr>
              <w:t>SES quintiles</w:t>
            </w:r>
          </w:p>
        </w:tc>
        <w:tc>
          <w:tcPr>
            <w:tcW w:w="601"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1214"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891"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600" w:type="dxa"/>
            <w:gridSpan w:val="2"/>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1214"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889" w:type="dxa"/>
            <w:gridSpan w:val="2"/>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601"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1214"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891" w:type="dxa"/>
            <w:tcBorders>
              <w:top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r>
      <w:tr>
        <w:trPr>
          <w:trHeight w:val="617" w:hRule="atLeast"/>
        </w:trPr>
        <w:tc>
          <w:tcPr>
            <w:tcW w:w="1522" w:type="dxa"/>
            <w:gridSpan w:val="2"/>
            <w:tcBorders/>
            <w:shd w:color="auto" w:fill="FFFFFF" w:val="clear"/>
          </w:tcPr>
          <w:p>
            <w:pPr>
              <w:pStyle w:val="Normal"/>
              <w:widowControl w:val="false"/>
              <w:pBdr/>
              <w:spacing w:lineRule="auto" w:line="240" w:before="0" w:after="0"/>
              <w:ind w:left="300" w:right="100" w:hanging="0"/>
              <w:jc w:val="left"/>
              <w:rPr>
                <w:rFonts w:ascii="Ubuntu" w:hAnsi="Ubuntu"/>
                <w:sz w:val="16"/>
                <w:szCs w:val="16"/>
              </w:rPr>
            </w:pPr>
            <w:r>
              <w:rPr>
                <w:rFonts w:eastAsia="DejaVu Sans" w:cs="DejaVu Sans" w:ascii="Ubuntu" w:hAnsi="Ubuntu"/>
                <w:b w:val="false"/>
                <w:i w:val="false"/>
                <w:color w:val="000000"/>
                <w:sz w:val="16"/>
                <w:szCs w:val="16"/>
                <w:u w:val="none"/>
              </w:rPr>
              <w:t>Prosperous</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600"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889"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ascii="Ubuntu" w:hAnsi="Ubuntu"/>
                <w:sz w:val="16"/>
                <w:szCs w:val="16"/>
              </w:rPr>
            </w:r>
          </w:p>
        </w:tc>
      </w:tr>
      <w:tr>
        <w:trPr>
          <w:trHeight w:val="581" w:hRule="atLeast"/>
        </w:trPr>
        <w:tc>
          <w:tcPr>
            <w:tcW w:w="1522" w:type="dxa"/>
            <w:gridSpan w:val="2"/>
            <w:tcBorders/>
            <w:shd w:color="auto" w:fill="FFFFFF" w:val="clear"/>
          </w:tcPr>
          <w:p>
            <w:pPr>
              <w:pStyle w:val="Normal"/>
              <w:widowControl w:val="false"/>
              <w:pBdr/>
              <w:spacing w:lineRule="auto" w:line="240" w:before="0" w:after="0"/>
              <w:ind w:left="300" w:right="100" w:hanging="0"/>
              <w:jc w:val="left"/>
              <w:rPr>
                <w:rFonts w:ascii="Ubuntu" w:hAnsi="Ubuntu"/>
                <w:sz w:val="16"/>
                <w:szCs w:val="16"/>
              </w:rPr>
            </w:pPr>
            <w:r>
              <w:rPr>
                <w:rFonts w:eastAsia="DejaVu Sans" w:cs="DejaVu Sans" w:ascii="Ubuntu" w:hAnsi="Ubuntu"/>
                <w:b w:val="false"/>
                <w:i w:val="false"/>
                <w:color w:val="000000"/>
                <w:sz w:val="16"/>
                <w:szCs w:val="16"/>
                <w:u w:val="none"/>
              </w:rPr>
              <w:t>Comfortable</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1.18</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0.94 to 1.49</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0.152</w:t>
            </w:r>
          </w:p>
        </w:tc>
        <w:tc>
          <w:tcPr>
            <w:tcW w:w="600"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0.99</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0.78 to 1.25</w:t>
            </w:r>
          </w:p>
        </w:tc>
        <w:tc>
          <w:tcPr>
            <w:tcW w:w="889"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0.930</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1.00</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0.75 to 1.33</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0.985</w:t>
            </w:r>
          </w:p>
        </w:tc>
      </w:tr>
      <w:tr>
        <w:trPr>
          <w:trHeight w:val="581" w:hRule="atLeast"/>
        </w:trPr>
        <w:tc>
          <w:tcPr>
            <w:tcW w:w="1522" w:type="dxa"/>
            <w:gridSpan w:val="2"/>
            <w:tcBorders/>
            <w:shd w:color="auto" w:fill="FFFFFF" w:val="clear"/>
          </w:tcPr>
          <w:p>
            <w:pPr>
              <w:pStyle w:val="Normal"/>
              <w:widowControl w:val="false"/>
              <w:pBdr/>
              <w:spacing w:lineRule="auto" w:line="240" w:before="0" w:after="0"/>
              <w:ind w:left="300" w:right="100" w:hanging="0"/>
              <w:jc w:val="left"/>
              <w:rPr>
                <w:rFonts w:ascii="Ubuntu" w:hAnsi="Ubuntu"/>
                <w:sz w:val="16"/>
                <w:szCs w:val="16"/>
              </w:rPr>
            </w:pPr>
            <w:r>
              <w:rPr>
                <w:rFonts w:eastAsia="DejaVu Sans" w:cs="DejaVu Sans" w:ascii="Ubuntu" w:hAnsi="Ubuntu"/>
                <w:b w:val="false"/>
                <w:i w:val="false"/>
                <w:color w:val="000000"/>
                <w:sz w:val="16"/>
                <w:szCs w:val="16"/>
                <w:u w:val="none"/>
              </w:rPr>
              <w:t>Mid-Tier</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1.00</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0.78 to 1.27</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0.982</w:t>
            </w:r>
          </w:p>
        </w:tc>
        <w:tc>
          <w:tcPr>
            <w:tcW w:w="600"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1.14</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0.88 to 1.46</w:t>
            </w:r>
          </w:p>
        </w:tc>
        <w:tc>
          <w:tcPr>
            <w:tcW w:w="889"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0.318</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1.08</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0.79 to 1.47</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0.625</w:t>
            </w:r>
          </w:p>
        </w:tc>
      </w:tr>
      <w:tr>
        <w:trPr>
          <w:trHeight w:val="581" w:hRule="atLeast"/>
        </w:trPr>
        <w:tc>
          <w:tcPr>
            <w:tcW w:w="1522" w:type="dxa"/>
            <w:gridSpan w:val="2"/>
            <w:tcBorders/>
            <w:shd w:color="auto" w:fill="FFFFFF" w:val="clear"/>
          </w:tcPr>
          <w:p>
            <w:pPr>
              <w:pStyle w:val="Normal"/>
              <w:widowControl w:val="false"/>
              <w:pBdr/>
              <w:spacing w:lineRule="auto" w:line="240" w:before="0" w:after="0"/>
              <w:ind w:left="300" w:right="100" w:hanging="0"/>
              <w:jc w:val="left"/>
              <w:rPr>
                <w:rFonts w:ascii="Ubuntu" w:hAnsi="Ubuntu"/>
                <w:sz w:val="16"/>
                <w:szCs w:val="16"/>
              </w:rPr>
            </w:pPr>
            <w:r>
              <w:rPr>
                <w:rFonts w:eastAsia="DejaVu Sans" w:cs="DejaVu Sans" w:ascii="Ubuntu" w:hAnsi="Ubuntu"/>
                <w:b w:val="false"/>
                <w:i w:val="false"/>
                <w:color w:val="000000"/>
                <w:sz w:val="16"/>
                <w:szCs w:val="16"/>
                <w:u w:val="none"/>
              </w:rPr>
              <w:t>At-Risk</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1.29</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1.02 to 1.63</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0.034</w:t>
            </w:r>
          </w:p>
        </w:tc>
        <w:tc>
          <w:tcPr>
            <w:tcW w:w="600"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1.20</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0.94 to 1.53</w:t>
            </w:r>
          </w:p>
        </w:tc>
        <w:tc>
          <w:tcPr>
            <w:tcW w:w="889" w:type="dxa"/>
            <w:gridSpan w:val="2"/>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0.154</w:t>
            </w:r>
          </w:p>
        </w:tc>
        <w:tc>
          <w:tcPr>
            <w:tcW w:w="60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1.32</w:t>
            </w:r>
          </w:p>
        </w:tc>
        <w:tc>
          <w:tcPr>
            <w:tcW w:w="1214"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0.99 to 1.76</w:t>
            </w:r>
          </w:p>
        </w:tc>
        <w:tc>
          <w:tcPr>
            <w:tcW w:w="891" w:type="dxa"/>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0.058</w:t>
            </w:r>
          </w:p>
        </w:tc>
      </w:tr>
      <w:tr>
        <w:trPr>
          <w:trHeight w:val="581" w:hRule="atLeast"/>
        </w:trPr>
        <w:tc>
          <w:tcPr>
            <w:tcW w:w="1522" w:type="dxa"/>
            <w:gridSpan w:val="2"/>
            <w:tcBorders>
              <w:bottom w:val="single" w:sz="8" w:space="0" w:color="000000"/>
            </w:tcBorders>
            <w:shd w:color="auto" w:fill="FFFFFF" w:val="clear"/>
          </w:tcPr>
          <w:p>
            <w:pPr>
              <w:pStyle w:val="Normal"/>
              <w:widowControl w:val="false"/>
              <w:pBdr/>
              <w:spacing w:lineRule="auto" w:line="240" w:before="0" w:after="0"/>
              <w:ind w:left="300" w:right="100" w:hanging="0"/>
              <w:jc w:val="left"/>
              <w:rPr>
                <w:rFonts w:ascii="Ubuntu" w:hAnsi="Ubuntu"/>
                <w:sz w:val="16"/>
                <w:szCs w:val="16"/>
              </w:rPr>
            </w:pPr>
            <w:r>
              <w:rPr>
                <w:rFonts w:eastAsia="DejaVu Sans" w:cs="DejaVu Sans" w:ascii="Ubuntu" w:hAnsi="Ubuntu"/>
                <w:b w:val="false"/>
                <w:i w:val="false"/>
                <w:color w:val="000000"/>
                <w:sz w:val="16"/>
                <w:szCs w:val="16"/>
                <w:u w:val="none"/>
              </w:rPr>
              <w:t>Distressed</w:t>
            </w:r>
          </w:p>
        </w:tc>
        <w:tc>
          <w:tcPr>
            <w:tcW w:w="601"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1.10 to 1.73</w:t>
            </w:r>
          </w:p>
        </w:tc>
        <w:tc>
          <w:tcPr>
            <w:tcW w:w="891"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0.006</w:t>
            </w:r>
          </w:p>
        </w:tc>
        <w:tc>
          <w:tcPr>
            <w:tcW w:w="600" w:type="dxa"/>
            <w:gridSpan w:val="2"/>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1.05 to 1.72</w:t>
            </w:r>
          </w:p>
        </w:tc>
        <w:tc>
          <w:tcPr>
            <w:tcW w:w="889" w:type="dxa"/>
            <w:gridSpan w:val="2"/>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i w:val="false"/>
                <w:color w:val="000000"/>
                <w:sz w:val="16"/>
                <w:szCs w:val="16"/>
                <w:u w:val="none"/>
              </w:rPr>
              <w:t>0.018</w:t>
            </w:r>
          </w:p>
        </w:tc>
        <w:tc>
          <w:tcPr>
            <w:tcW w:w="601"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1.25</w:t>
            </w:r>
          </w:p>
        </w:tc>
        <w:tc>
          <w:tcPr>
            <w:tcW w:w="1214"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0.93 to 1.69</w:t>
            </w:r>
          </w:p>
        </w:tc>
        <w:tc>
          <w:tcPr>
            <w:tcW w:w="891" w:type="dxa"/>
            <w:tcBorders>
              <w:bottom w:val="single" w:sz="8" w:space="0" w:color="000000"/>
            </w:tcBorders>
            <w:shd w:color="auto" w:fill="FFFFFF" w:val="clear"/>
          </w:tcPr>
          <w:p>
            <w:pPr>
              <w:pStyle w:val="Normal"/>
              <w:widowControl w:val="false"/>
              <w:pBdr/>
              <w:spacing w:lineRule="auto" w:line="240" w:before="0" w:after="0"/>
              <w:ind w:left="100" w:right="100" w:hanging="0"/>
              <w:jc w:val="center"/>
              <w:rPr>
                <w:rFonts w:ascii="Ubuntu" w:hAnsi="Ubuntu"/>
                <w:sz w:val="16"/>
                <w:szCs w:val="16"/>
              </w:rPr>
            </w:pPr>
            <w:r>
              <w:rPr>
                <w:rFonts w:eastAsia="DejaVu Sans" w:cs="DejaVu Sans" w:ascii="Ubuntu" w:hAnsi="Ubuntu"/>
                <w:b w:val="false"/>
                <w:i w:val="false"/>
                <w:color w:val="000000"/>
                <w:sz w:val="16"/>
                <w:szCs w:val="16"/>
                <w:u w:val="none"/>
              </w:rPr>
              <w:t>0.139</w:t>
            </w:r>
          </w:p>
        </w:tc>
      </w:tr>
      <w:tr>
        <w:trPr>
          <w:trHeight w:val="360" w:hRule="atLeast"/>
        </w:trPr>
        <w:tc>
          <w:tcPr>
            <w:tcW w:w="9637" w:type="dxa"/>
            <w:gridSpan w:val="13"/>
            <w:tcBorders>
              <w:top w:val="single" w:sz="8" w:space="0" w:color="000000"/>
            </w:tcBorders>
            <w:shd w:color="auto" w:fill="FFFFFF" w:val="clear"/>
            <w:vAlign w:val="center"/>
          </w:tcPr>
          <w:p>
            <w:pPr>
              <w:pStyle w:val="Normal"/>
              <w:widowControl w:val="false"/>
              <w:pBdr/>
              <w:spacing w:lineRule="auto" w:line="240" w:before="0" w:after="0"/>
              <w:ind w:left="100" w:right="100" w:hanging="0"/>
              <w:jc w:val="left"/>
              <w:rPr>
                <w:rFonts w:ascii="Ubuntu" w:hAnsi="Ubuntu"/>
                <w:sz w:val="16"/>
                <w:szCs w:val="16"/>
              </w:rPr>
            </w:pPr>
            <w:r>
              <w:rPr>
                <w:rFonts w:eastAsia="DejaVu Sans" w:cs="DejaVu Sans" w:ascii="Ubuntu" w:hAnsi="Ubuntu"/>
                <w:b w:val="false"/>
                <w:i w:val="false"/>
                <w:color w:val="000000"/>
                <w:sz w:val="16"/>
                <w:szCs w:val="16"/>
                <w:u w:val="none"/>
                <w:vertAlign w:val="superscript"/>
              </w:rPr>
              <w:t>1</w:t>
            </w:r>
            <w:r>
              <w:rPr>
                <w:rFonts w:eastAsia="DejaVu Sans" w:cs="DejaVu Sans" w:ascii="Ubuntu" w:hAnsi="Ubuntu"/>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7" w:name="results"/>
      <w:bookmarkStart w:id="18" w:name="effect-of-ses-on-mortality"/>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7"/>
      <w:bookmarkEnd w:id="18"/>
    </w:p>
    <w:p>
      <w:pPr>
        <w:pStyle w:val="Heading1"/>
        <w:rPr/>
      </w:pPr>
      <w:bookmarkStart w:id="19" w:name="__RefHeading___Toc4004_1181794755"/>
      <w:bookmarkStart w:id="20" w:name="observations-and-limitations"/>
      <w:bookmarkEnd w:id="19"/>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20"/>
    </w:p>
    <w:p>
      <w:pPr>
        <w:pStyle w:val="Heading1"/>
        <w:rPr/>
      </w:pPr>
      <w:bookmarkStart w:id="21" w:name="__RefHeading___Toc4006_1181794755"/>
      <w:bookmarkStart w:id="22" w:name="conclusions"/>
      <w:bookmarkEnd w:id="21"/>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23" w:name="conclusions"/>
      <w:r>
        <w:rPr/>
        <w:t>Both early deaths and late deaths appear to occur at similar rates across all neighborhoods.</w:t>
      </w:r>
      <w:bookmarkEnd w:id="23"/>
    </w:p>
    <w:p>
      <w:pPr>
        <w:pStyle w:val="Heading1"/>
        <w:rPr/>
      </w:pPr>
      <w:bookmarkStart w:id="24" w:name="__RefHeading___Toc4008_1181794755"/>
      <w:bookmarkStart w:id="25" w:name="references"/>
      <w:bookmarkEnd w:id="24"/>
      <w:r>
        <w:rPr/>
        <w:t>References</w:t>
      </w:r>
    </w:p>
    <w:p>
      <w:pPr>
        <w:pStyle w:val="Compact"/>
        <w:numPr>
          <w:ilvl w:val="0"/>
          <w:numId w:val="4"/>
        </w:numPr>
        <w:rPr/>
      </w:pPr>
      <w:r>
        <w:rPr>
          <w:b/>
          <w:bCs/>
        </w:rPr>
        <w:t>SAP-2023-004-BH-v01</w:t>
      </w:r>
      <w:r>
        <w:rPr/>
        <w:t xml:space="preserve"> – Analytical Plan for Effect of socioeconomic status of neighborhoods in mortality mortality rates after brain injury: retrospective cohort</w:t>
      </w:r>
    </w:p>
    <w:p>
      <w:pPr>
        <w:pStyle w:val="Compact"/>
        <w:numPr>
          <w:ilvl w:val="0"/>
          <w:numId w:val="5"/>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25"/>
    </w:p>
    <w:p>
      <w:pPr>
        <w:pStyle w:val="Heading1"/>
        <w:rPr/>
      </w:pPr>
      <w:bookmarkStart w:id="26" w:name="__RefHeading___Toc4010_1181794755"/>
      <w:bookmarkStart w:id="27" w:name="appendix"/>
      <w:bookmarkEnd w:id="26"/>
      <w:r>
        <w:rPr/>
        <w:t>Appendix</w:t>
      </w:r>
    </w:p>
    <w:p>
      <w:pPr>
        <w:pStyle w:val="Heading2"/>
        <w:rPr/>
      </w:pPr>
      <w:bookmarkStart w:id="28" w:name="__RefHeading___Toc4012_1181794755"/>
      <w:bookmarkStart w:id="29" w:name="exploratory-data-analysis"/>
      <w:bookmarkEnd w:id="28"/>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9"/>
    </w:p>
    <w:p>
      <w:pPr>
        <w:pStyle w:val="Heading2"/>
        <w:rPr/>
      </w:pPr>
      <w:bookmarkStart w:id="30" w:name="__RefHeading___Toc4014_1181794755"/>
      <w:bookmarkStart w:id="31" w:name="modeling-strategy"/>
      <w:bookmarkEnd w:id="30"/>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keepNext w:val="true"/>
        <w:pBdr/>
        <w:spacing w:lineRule="exact" w:line="240" w:before="60" w:after="60"/>
        <w:ind w:left="60" w:right="60" w:hanging="0"/>
        <w:jc w:val="center"/>
        <w:rPr/>
      </w:pPr>
      <w:r>
        <w:rPr>
          <w:b/>
          <w:bCs/>
        </w:rPr>
        <w:t>Table A1</w:t>
      </w:r>
      <w:r>
        <w:rPr/>
        <w:t xml:space="preserve"> Alternative version of Table 2, showing effects from all covariates included in the model.</w:t>
      </w:r>
    </w:p>
    <w:tbl>
      <w:tblPr>
        <w:tblW w:w="8454" w:type="dxa"/>
        <w:jc w:val="center"/>
        <w:tblInd w:w="0" w:type="dxa"/>
        <w:tblLayout w:type="fixed"/>
        <w:tblCellMar>
          <w:top w:w="0" w:type="dxa"/>
          <w:left w:w="0" w:type="dxa"/>
          <w:bottom w:w="0" w:type="dxa"/>
          <w:right w:w="0" w:type="dxa"/>
        </w:tblCellMar>
        <w:tblLook w:noHBand="0" w:noVBand="1" w:firstColumn="0" w:lastRow="0" w:lastColumn="0" w:firstRow="1"/>
      </w:tblPr>
      <w:tblGrid>
        <w:gridCol w:w="3711"/>
        <w:gridCol w:w="295"/>
        <w:gridCol w:w="768"/>
        <w:gridCol w:w="518"/>
        <w:gridCol w:w="295"/>
        <w:gridCol w:w="768"/>
        <w:gridCol w:w="518"/>
        <w:gridCol w:w="295"/>
        <w:gridCol w:w="768"/>
        <w:gridCol w:w="518"/>
      </w:tblGrid>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100" w:right="100" w:hanging="0"/>
              <w:jc w:val="center"/>
              <w:rPr>
                <w:rFonts w:eastAsia="DejaVu Sans" w:cs="DejaVu Sans"/>
                <w:b w:val="false"/>
                <w:i w:val="false"/>
                <w:i w:val="false"/>
                <w:color w:val="000000"/>
                <w:u w:val="none"/>
              </w:rPr>
            </w:pPr>
            <w:r>
              <w:rPr>
                <w:rFonts w:ascii="Ubuntu" w:hAnsi="Ubuntu"/>
                <w:sz w:val="12"/>
                <w:szCs w:val="12"/>
              </w:rPr>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Crude estimate</w:t>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Adjusted estimate</w:t>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Late deaths</w:t>
            </w:r>
          </w:p>
        </w:tc>
      </w:tr>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Characteristic</w:t>
            </w:r>
          </w:p>
        </w:tc>
        <w:tc>
          <w:tcPr>
            <w:tcW w:w="295"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HR</w:t>
            </w:r>
            <w:r>
              <w:rPr>
                <w:rFonts w:eastAsia="DejaVu Sans" w:cs="DejaVu Sans" w:ascii="Ubuntu" w:hAnsi="Ubuntu"/>
                <w:b w:val="false"/>
                <w:i w:val="false"/>
                <w:color w:val="000000"/>
                <w:sz w:val="12"/>
                <w:szCs w:val="12"/>
                <w:u w:val="none"/>
                <w:vertAlign w:val="superscript"/>
              </w:rPr>
              <w:t>1</w:t>
            </w:r>
          </w:p>
        </w:tc>
        <w:tc>
          <w:tcPr>
            <w:tcW w:w="76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95% CI</w:t>
            </w:r>
            <w:r>
              <w:rPr>
                <w:rFonts w:eastAsia="DejaVu Sans" w:cs="DejaVu Sans" w:ascii="Ubuntu" w:hAnsi="Ubuntu"/>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HR</w:t>
            </w:r>
            <w:r>
              <w:rPr>
                <w:rFonts w:eastAsia="DejaVu Sans" w:cs="DejaVu Sans" w:ascii="Ubuntu" w:hAnsi="Ubuntu"/>
                <w:b w:val="false"/>
                <w:i w:val="false"/>
                <w:color w:val="000000"/>
                <w:sz w:val="12"/>
                <w:szCs w:val="12"/>
                <w:u w:val="none"/>
                <w:vertAlign w:val="superscript"/>
              </w:rPr>
              <w:t>1</w:t>
            </w:r>
          </w:p>
        </w:tc>
        <w:tc>
          <w:tcPr>
            <w:tcW w:w="76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95% CI</w:t>
            </w:r>
            <w:r>
              <w:rPr>
                <w:rFonts w:eastAsia="DejaVu Sans" w:cs="DejaVu Sans" w:ascii="Ubuntu" w:hAnsi="Ubuntu"/>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HR</w:t>
            </w:r>
            <w:r>
              <w:rPr>
                <w:rFonts w:eastAsia="DejaVu Sans" w:cs="DejaVu Sans" w:ascii="Ubuntu" w:hAnsi="Ubuntu"/>
                <w:b w:val="false"/>
                <w:i w:val="false"/>
                <w:color w:val="000000"/>
                <w:sz w:val="12"/>
                <w:szCs w:val="12"/>
                <w:u w:val="none"/>
                <w:vertAlign w:val="superscript"/>
              </w:rPr>
              <w:t>1</w:t>
            </w:r>
          </w:p>
        </w:tc>
        <w:tc>
          <w:tcPr>
            <w:tcW w:w="76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95% CI</w:t>
            </w:r>
            <w:r>
              <w:rPr>
                <w:rFonts w:eastAsia="DejaVu Sans" w:cs="DejaVu Sans" w:ascii="Ubuntu" w:hAnsi="Ubuntu"/>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p-value</w:t>
            </w:r>
          </w:p>
        </w:tc>
      </w:tr>
      <w:tr>
        <w:trPr>
          <w:trHeight w:val="624" w:hRule="atLeast"/>
        </w:trPr>
        <w:tc>
          <w:tcPr>
            <w:tcW w:w="3711" w:type="dxa"/>
            <w:tcBorders>
              <w:top w:val="single" w:sz="8" w:space="0" w:color="000000"/>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SES quintiles</w:t>
            </w:r>
          </w:p>
        </w:tc>
        <w:tc>
          <w:tcPr>
            <w:tcW w:w="295"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617"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Prosperous</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Comfortable</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0.94 to 1.49</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0.152</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0.78 to 1.25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0.930</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0.75 to 1.33</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0.985</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Mid-Tier</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0.78 to 1.27</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0.982</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1.14</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0.88 to 1.46</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0.318</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0.79 to 1.47</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0.625</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At-Risk</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1.02 to 1.63</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0.034</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0.94 to 1.53</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0.154</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1.32</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0.99 to 1.76</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0.058</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Distressed</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1.10 to 1.73</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0.006</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1.05 to 1.72</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0.018</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0.93 to 1.69</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0.139</w:t>
            </w:r>
          </w:p>
        </w:tc>
      </w:tr>
      <w:tr>
        <w:trPr>
          <w:trHeight w:val="577"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Sex:</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Male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Female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0.67</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0.56 to 0.80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0.53 to 0.81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What is your race?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White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Black</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0.81</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0.64 to 1.02</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0.070</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0.83</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0.63 to 1.10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0.193</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Hispanic</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0.43 to 0.83</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0.002</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0.69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0.47 to 1.02</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0.063</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Other</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0.47 to 1.05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0.088</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0.75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0.47 to 1.20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0.227</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Age at injury</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1.04</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1.04 to 1.05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1.04</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1.04 to 1.05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Substance Problem Use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7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No</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77"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Yes</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1.04 to 1.50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0.017</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1.03 to 1.58</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0.028</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Education</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Greater Than High School</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Less Than High School</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1.23</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0.98 to 1.54</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0.070</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1.26</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0.97 to 1.64</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0.087</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High School/GED</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1.36</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1.15 to 1.61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1.05 to 1.59</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0.016</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At time of injury, what was your employment status?</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Employed</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Unemployed</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1.78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1.34 to 2.35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1.71</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1.24 to 2.38</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0.001</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Other</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2.05</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1.67 to 2.51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1.92</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1.51 to 2.45</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Urbanization based on zip code of address at discharge.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Suburban</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Rural</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1.02</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0.82 to 1.28</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0.851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1.16</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0.89 to 1.51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0.267</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Urban</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1.08</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0.90 to 1.31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0.405</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0.87 to 1.37</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0.461</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Spinal cord injury:</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7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No</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77"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Yes</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0.85 to 1.67</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0.312</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1.34</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0.90 to 2.00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0.153</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Primary rehabilitation payor:</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Private Insurance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Public Insurance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1.42</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1.18 to 1.71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1.57</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1.25 to 1.97</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Other</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1.16</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0.80 to 1.66</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0.434</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1.32</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0.88 to 2.00</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0.183</w:t>
            </w:r>
          </w:p>
        </w:tc>
      </w:tr>
      <w:tr>
        <w:trPr>
          <w:trHeight w:val="624"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Residence after rehab discharge: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Private Residence</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w:t>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r>
      <w:tr>
        <w:trPr>
          <w:trHeight w:val="581" w:hRule="atLeast"/>
        </w:trPr>
        <w:tc>
          <w:tcPr>
            <w:tcW w:w="3711" w:type="dxa"/>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rPr>
              <w:t>Other</w:t>
            </w:r>
          </w:p>
        </w:tc>
        <w:tc>
          <w:tcPr>
            <w:tcW w:w="295"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1.70</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1.44 to 2.01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&lt;0.001</w:t>
            </w:r>
          </w:p>
        </w:tc>
        <w:tc>
          <w:tcPr>
            <w:tcW w:w="295"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1.39</w:t>
            </w:r>
          </w:p>
        </w:tc>
        <w:tc>
          <w:tcPr>
            <w:tcW w:w="76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1.12 to 1.71</w:t>
            </w:r>
          </w:p>
        </w:tc>
        <w:tc>
          <w:tcPr>
            <w:tcW w:w="518" w:type="dxa"/>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0.002</w:t>
            </w:r>
          </w:p>
        </w:tc>
      </w:tr>
      <w:tr>
        <w:trPr>
          <w:trHeight w:val="624" w:hRule="atLeast"/>
        </w:trPr>
        <w:tc>
          <w:tcPr>
            <w:tcW w:w="3711" w:type="dxa"/>
            <w:tcBorders>
              <w:bottom w:val="single" w:sz="8" w:space="0" w:color="000000"/>
            </w:tcBorders>
            <w:shd w:color="auto" w:fill="FFFFFF" w:val="clea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i w:val="false"/>
                <w:color w:val="000000"/>
                <w:sz w:val="12"/>
                <w:szCs w:val="12"/>
                <w:u w:val="none"/>
              </w:rPr>
              <w:t>Days From Injury to Rehab Discharge</w:t>
            </w:r>
          </w:p>
        </w:tc>
        <w:tc>
          <w:tcPr>
            <w:tcW w:w="295" w:type="dxa"/>
            <w:tcBorders>
              <w:bottom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768" w:type="dxa"/>
            <w:tcBorders>
              <w:bottom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518" w:type="dxa"/>
            <w:tcBorders>
              <w:bottom w:val="single" w:sz="8" w:space="0" w:color="000000"/>
            </w:tcBorders>
            <w:shd w:color="auto" w:fill="FFFFFF" w:val="clear"/>
          </w:tcPr>
          <w:p>
            <w:pPr>
              <w:pStyle w:val="Normal"/>
              <w:widowControl w:val="false"/>
              <w:pBdr/>
              <w:spacing w:lineRule="exact" w:line="240" w:before="0" w:after="0"/>
              <w:ind w:left="100" w:right="100" w:hanging="0"/>
              <w:jc w:val="center"/>
              <w:rPr>
                <w:rFonts w:ascii="Ubuntu" w:hAnsi="Ubuntu"/>
                <w:sz w:val="12"/>
                <w:szCs w:val="12"/>
              </w:rPr>
            </w:pPr>
            <w:r>
              <w:rPr>
                <w:rFonts w:ascii="Ubuntu" w:hAnsi="Ubuntu"/>
                <w:sz w:val="12"/>
                <w:szCs w:val="12"/>
              </w:rPr>
            </w:r>
          </w:p>
        </w:tc>
        <w:tc>
          <w:tcPr>
            <w:tcW w:w="295"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w:t>
            </w:r>
          </w:p>
        </w:tc>
        <w:tc>
          <w:tcPr>
            <w:tcW w:w="768"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 to 1.01</w:t>
            </w:r>
          </w:p>
        </w:tc>
        <w:tc>
          <w:tcPr>
            <w:tcW w:w="518"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i w:val="false"/>
                <w:color w:val="000000"/>
                <w:sz w:val="12"/>
                <w:szCs w:val="12"/>
                <w:u w:val="none"/>
              </w:rPr>
              <w:t>0.009</w:t>
            </w:r>
          </w:p>
        </w:tc>
        <w:tc>
          <w:tcPr>
            <w:tcW w:w="295"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w:t>
            </w:r>
          </w:p>
        </w:tc>
        <w:tc>
          <w:tcPr>
            <w:tcW w:w="768"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1.00 to 1.00</w:t>
            </w:r>
          </w:p>
        </w:tc>
        <w:tc>
          <w:tcPr>
            <w:tcW w:w="518" w:type="dxa"/>
            <w:tcBorders>
              <w:bottom w:val="single" w:sz="8" w:space="0" w:color="000000"/>
            </w:tcBorders>
            <w:shd w:color="auto" w:fill="FFFFFF" w:val="clear"/>
          </w:tcPr>
          <w:p>
            <w:pPr>
              <w:pStyle w:val="Normal"/>
              <w:widowControl w:val="false"/>
              <w:pBdr/>
              <w:spacing w:lineRule="auto" w:line="240" w:before="0" w:after="0"/>
              <w:ind w:left="0" w:right="0" w:hanging="0"/>
              <w:jc w:val="center"/>
              <w:rPr>
                <w:rFonts w:ascii="Ubuntu" w:hAnsi="Ubuntu"/>
                <w:sz w:val="12"/>
                <w:szCs w:val="12"/>
              </w:rPr>
            </w:pPr>
            <w:r>
              <w:rPr>
                <w:rFonts w:eastAsia="DejaVu Sans" w:cs="DejaVu Sans" w:ascii="Ubuntu" w:hAnsi="Ubuntu"/>
                <w:b w:val="false"/>
                <w:i w:val="false"/>
                <w:color w:val="000000"/>
                <w:sz w:val="12"/>
                <w:szCs w:val="12"/>
                <w:u w:val="none"/>
              </w:rPr>
              <w:t>0.396</w:t>
            </w:r>
          </w:p>
        </w:tc>
      </w:tr>
      <w:tr>
        <w:trPr>
          <w:trHeight w:val="360" w:hRule="atLeast"/>
        </w:trPr>
        <w:tc>
          <w:tcPr>
            <w:tcW w:w="8454" w:type="dxa"/>
            <w:gridSpan w:val="10"/>
            <w:tcBorders>
              <w:top w:val="single" w:sz="8" w:space="0" w:color="000000"/>
            </w:tcBorders>
            <w:shd w:color="auto" w:fill="FFFFFF" w:val="clear"/>
            <w:vAlign w:val="center"/>
          </w:tcPr>
          <w:p>
            <w:pPr>
              <w:pStyle w:val="Normal"/>
              <w:widowControl w:val="false"/>
              <w:pBdr/>
              <w:spacing w:lineRule="auto" w:line="240" w:before="0" w:after="0"/>
              <w:ind w:left="0" w:right="0" w:hanging="0"/>
              <w:jc w:val="left"/>
              <w:rPr>
                <w:rFonts w:ascii="Ubuntu" w:hAnsi="Ubuntu"/>
                <w:sz w:val="12"/>
                <w:szCs w:val="12"/>
              </w:rPr>
            </w:pPr>
            <w:r>
              <w:rPr>
                <w:rFonts w:eastAsia="DejaVu Sans" w:cs="DejaVu Sans" w:ascii="Ubuntu" w:hAnsi="Ubuntu"/>
                <w:b w:val="false"/>
                <w:i w:val="false"/>
                <w:color w:val="000000"/>
                <w:sz w:val="12"/>
                <w:szCs w:val="12"/>
                <w:u w:val="none"/>
                <w:vertAlign w:val="superscript"/>
              </w:rPr>
              <w:t>1</w:t>
            </w:r>
            <w:r>
              <w:rPr>
                <w:rFonts w:eastAsia="DejaVu Sans" w:cs="DejaVu Sans" w:ascii="Ubuntu" w:hAnsi="Ubuntu"/>
                <w:b w:val="false"/>
                <w:i w:val="false"/>
                <w:color w:val="000000"/>
                <w:sz w:val="12"/>
                <w:szCs w:val="12"/>
                <w:u w:val="none"/>
              </w:rPr>
              <w:t>HR = Hazard Ratio, CI = Confidence Interval</w:t>
            </w:r>
            <w:bookmarkEnd w:id="31"/>
          </w:p>
        </w:tc>
      </w:tr>
    </w:tbl>
    <w:p>
      <w:pPr>
        <w:pStyle w:val="Heading2"/>
        <w:rPr/>
      </w:pPr>
      <w:bookmarkStart w:id="32" w:name="__RefHeading___Toc4016_1181794755"/>
      <w:bookmarkEnd w:id="32"/>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10">
        <w:r>
          <w:rPr>
            <w:rStyle w:val="InternetLink"/>
          </w:rPr>
          <w:t>https://philsf-biostat.github.io/SAR-2023-004-BH/</w:t>
        </w:r>
      </w:hyperlink>
    </w:p>
    <w:p>
      <w:pPr>
        <w:pStyle w:val="Heading2"/>
        <w:rPr/>
      </w:pPr>
      <w:bookmarkStart w:id="33" w:name="__RefHeading___Toc4018_1181794755"/>
      <w:bookmarkStart w:id="34" w:name="analytical-dataset"/>
      <w:bookmarkEnd w:id="33"/>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60"/>
        <w:gridCol w:w="556"/>
        <w:gridCol w:w="507"/>
        <w:gridCol w:w="359"/>
        <w:gridCol w:w="359"/>
        <w:gridCol w:w="359"/>
        <w:gridCol w:w="309"/>
        <w:gridCol w:w="309"/>
        <w:gridCol w:w="654"/>
        <w:gridCol w:w="605"/>
        <w:gridCol w:w="654"/>
        <w:gridCol w:w="507"/>
        <w:gridCol w:w="605"/>
        <w:gridCol w:w="309"/>
        <w:gridCol w:w="408"/>
        <w:gridCol w:w="605"/>
        <w:gridCol w:w="457"/>
        <w:gridCol w:w="802"/>
        <w:gridCol w:w="507"/>
        <w:gridCol w:w="504"/>
      </w:tblGrid>
      <w:tr>
        <w:trPr/>
        <w:tc>
          <w:tcPr>
            <w:tcW w:w="2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id</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exposure</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outcome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Time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SexF</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Race</w:t>
            </w:r>
          </w:p>
        </w:tc>
        <w:tc>
          <w:tcPr>
            <w:tcW w:w="3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Mar</w:t>
            </w:r>
          </w:p>
        </w:tc>
        <w:tc>
          <w:tcPr>
            <w:tcW w:w="3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AGE</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PROBLEMUse</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EDUCATION</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EMPLOYMENT</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RURALdc</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PriorSeiz</w:t>
            </w:r>
          </w:p>
        </w:tc>
        <w:tc>
          <w:tcPr>
            <w:tcW w:w="3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SCI</w:t>
            </w:r>
          </w:p>
        </w:tc>
        <w:tc>
          <w:tcPr>
            <w:tcW w:w="4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Cause</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RehabPay1</w:t>
            </w:r>
          </w:p>
        </w:tc>
        <w:tc>
          <w:tcPr>
            <w:tcW w:w="4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ResDis</w:t>
            </w:r>
          </w:p>
        </w:tc>
        <w:tc>
          <w:tcPr>
            <w:tcW w:w="8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DAYStoREHABdc</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FIMMOTD</w:t>
            </w:r>
          </w:p>
        </w:tc>
        <w:tc>
          <w:tcPr>
            <w:tcW w:w="50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FIMCOGD</w:t>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1</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2</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3</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N</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bl>
    <w:p>
      <w:pPr>
        <w:pStyle w:val="TextBody"/>
        <w:spacing w:before="180" w:after="180"/>
        <w:rPr/>
      </w:pPr>
      <w:bookmarkStart w:id="35" w:name="appendix"/>
      <w:bookmarkStart w:id="36" w:name="analytical-dataset"/>
      <w:r>
        <w:rPr/>
        <w:t>Due to confidentiality the data-set used in this analysis cannot be shared online in the public version of this report.</w:t>
      </w:r>
      <w:bookmarkEnd w:id="35"/>
      <w:bookmarkEnd w:id="36"/>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w:charset w:val="01"/>
    <w:family w:val="auto"/>
    <w:pitch w:val="variable"/>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 w:numId="5">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04-BH/"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LibreOffice/7.5.2.2$Linux_X86_64 LibreOffice_project/50$Build-2</Application>
  <AppVersion>15.0000</AppVersion>
  <Pages>17</Pages>
  <Words>2073</Words>
  <Characters>10904</Characters>
  <CharactersWithSpaces>12509</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2023-04-21T20:21:00Z</dcterms:created>
  <dc:creator>From: Felipe Figueiredo To: Brennan Hickson</dc:creator>
  <dc:description/>
  <dc:language>pt-BR</dc:language>
  <cp:lastModifiedBy/>
  <dcterms:modified xsi:type="dcterms:W3CDTF">2023-04-21T17:37:36Z</dcterms:modified>
  <cp:revision>2</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