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/>
        </w:rPr>
      </w:pPr>
      <w:r>
        <w:rPr>
          <w:lang w:val="pt-BR"/>
        </w:rPr>
        <w:t xml:space="preserve">Plano Analítico para Associação entre invasão vascular linfática na densidade vascular linfática </w:t>
      </w:r>
      <w:r>
        <w:rPr>
          <w:lang w:val="pt-BR"/>
        </w:rPr>
        <w:t xml:space="preserve">e mortalidade </w:t>
      </w:r>
      <w:r>
        <w:rPr>
          <w:lang w:val="pt-BR"/>
        </w:rPr>
        <w:t>em pacientes com câncer de mama: estudo transversal</w:t>
      </w:r>
    </w:p>
    <w:p>
      <w:pPr>
        <w:pStyle w:val="Subtitle"/>
        <w:rPr>
          <w:lang w:val="pt-BR"/>
        </w:rPr>
      </w:pPr>
      <w:r>
        <w:rPr>
          <w:lang w:val="pt-BR"/>
        </w:rPr>
        <w:t>DOCUMENTO: SAP-2023-007-TG-v01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Teresa Gutman</w:t>
      </w:r>
    </w:p>
    <w:p>
      <w:pPr>
        <w:pStyle w:val="Date"/>
        <w:rPr>
          <w:lang w:val="pt-BR"/>
        </w:rPr>
      </w:pPr>
      <w:r>
        <w:rPr>
          <w:lang w:val="pt-BR"/>
        </w:rPr>
        <w:t>2023-01-30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_RefHeading___Toc930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2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34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36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2.2  Hipóteses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8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40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42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44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  Parâmetros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46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4.1  Desenho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48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4.2  Critérios de inclusão e exclusão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50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4.3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52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4.4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54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4.5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56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58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960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962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964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5.1.3  Modelagem estatística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966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68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70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72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74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76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78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80_3324254022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8.1  Disponibilidade</w:t>
              <w:tab/>
              <w:t>6</w:t>
            </w:r>
          </w:hyperlink>
          <w:r>
            <w:rPr>
              <w:rStyle w:val="IndexLink"/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 xml:space="preserve">Plano Analítico para Associação entre invasão vascular linfática na densidade vascular linfática </w:t>
      </w:r>
      <w:r>
        <w:rPr>
          <w:lang w:val="pt-BR"/>
        </w:rPr>
        <w:t xml:space="preserve">e </w:t>
      </w:r>
      <w:r>
        <w:rPr>
          <w:lang w:val="pt-BR"/>
        </w:rPr>
        <w:t>mortalidade em pacientes com câncer de mama: estudo transversal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930_3324254022"/>
      <w:bookmarkEnd w:id="0"/>
      <w:r>
        <w:rPr>
          <w:lang w:val="pt-BR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CM=4: Classificação molecular em 4 subtipos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DVL: densidade vascular linfática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DVL (IT): densidade vascular linfática intratumoral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DVL (PT): densidade vascular linfática peritumoral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IVL: Invasão vascular linfática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pT: Estadiamento patológico pelo tamanho do tumor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pM: Estadiamento patológico para metástase à distância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bookmarkStart w:id="1" w:name="lista-de-abreviaturas"/>
      <w:r>
        <w:rPr>
          <w:lang w:val="pt-BR"/>
        </w:rPr>
        <w:t>pN: Estadiamento patológico pelo n de linfonodos metastáticos</w:t>
      </w:r>
      <w:bookmarkEnd w:id="1"/>
    </w:p>
    <w:p>
      <w:pPr>
        <w:pStyle w:val="Heading1"/>
        <w:rPr>
          <w:lang w:val="pt-BR"/>
        </w:rPr>
      </w:pPr>
      <w:bookmarkStart w:id="2" w:name="__RefHeading___Toc932_3324254022"/>
      <w:bookmarkEnd w:id="2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3" w:name="__RefHeading___Toc934_3324254022"/>
      <w:bookmarkEnd w:id="3"/>
      <w:r>
        <w:rPr>
          <w:lang w:val="pt-BR"/>
        </w:rPr>
        <w:t>Objetivos</w:t>
      </w:r>
    </w:p>
    <w:p>
      <w:pPr>
        <w:pStyle w:val="Compact"/>
        <w:numPr>
          <w:ilvl w:val="0"/>
          <w:numId w:val="22"/>
        </w:numPr>
        <w:rPr>
          <w:lang w:val="pt-BR"/>
        </w:rPr>
      </w:pPr>
      <w:r>
        <w:rPr>
          <w:lang w:val="pt-BR"/>
        </w:rPr>
        <w:t>Avaliar a associação entre a invasão vascular linfática e a mortalidade;</w:t>
      </w:r>
    </w:p>
    <w:p>
      <w:pPr>
        <w:pStyle w:val="Compact"/>
        <w:numPr>
          <w:ilvl w:val="0"/>
          <w:numId w:val="23"/>
        </w:numPr>
        <w:rPr>
          <w:lang w:val="pt-BR"/>
        </w:rPr>
      </w:pPr>
      <w:r>
        <w:rPr>
          <w:lang w:val="pt-BR"/>
        </w:rPr>
        <w:t>Avaliar a associação entre a invasão vascular linfática e a densidade vascular linfática peritumoral e intratumoral, mensuradas pelo marcador D2-40;</w:t>
      </w:r>
    </w:p>
    <w:p>
      <w:pPr>
        <w:pStyle w:val="Compact"/>
        <w:numPr>
          <w:ilvl w:val="0"/>
          <w:numId w:val="24"/>
        </w:numPr>
        <w:rPr>
          <w:lang w:val="pt-BR"/>
        </w:rPr>
      </w:pPr>
      <w:r>
        <w:rPr>
          <w:lang w:val="pt-BR"/>
        </w:rPr>
        <w:t>Avaliar a associação entre a invasão vascular linfática e indicadores de patológico;</w:t>
      </w:r>
    </w:p>
    <w:p>
      <w:pPr>
        <w:pStyle w:val="Compact"/>
        <w:numPr>
          <w:ilvl w:val="0"/>
          <w:numId w:val="25"/>
        </w:numPr>
        <w:rPr>
          <w:lang w:val="pt-BR"/>
        </w:rPr>
      </w:pPr>
      <w:r>
        <w:rPr>
          <w:lang w:val="pt-BR"/>
        </w:rPr>
        <w:t>Avaliar a associação entre a invasão vascular linfática e o número de linfonodos acometidos;</w:t>
      </w:r>
    </w:p>
    <w:p>
      <w:pPr>
        <w:pStyle w:val="Compact"/>
        <w:numPr>
          <w:ilvl w:val="0"/>
          <w:numId w:val="26"/>
        </w:numPr>
        <w:rPr>
          <w:lang w:val="pt-BR"/>
        </w:rPr>
      </w:pPr>
      <w:bookmarkStart w:id="4" w:name="objetivos"/>
      <w:r>
        <w:rPr>
          <w:lang w:val="pt-BR"/>
        </w:rPr>
        <w:t>Avaliar a associação entre a invasão vascular linfática e o tamanho do tumor.</w:t>
      </w:r>
      <w:bookmarkEnd w:id="4"/>
    </w:p>
    <w:p>
      <w:pPr>
        <w:pStyle w:val="Heading2"/>
        <w:rPr>
          <w:lang w:val="pt-BR"/>
        </w:rPr>
      </w:pPr>
      <w:bookmarkStart w:id="5" w:name="__RefHeading___Toc936_3324254022"/>
      <w:bookmarkEnd w:id="5"/>
      <w:r>
        <w:rPr>
          <w:lang w:val="pt-BR"/>
        </w:rPr>
        <w:t>Hipóteses</w:t>
      </w:r>
    </w:p>
    <w:p>
      <w:pPr>
        <w:pStyle w:val="Compact"/>
        <w:numPr>
          <w:ilvl w:val="0"/>
          <w:numId w:val="27"/>
        </w:numPr>
        <w:rPr>
          <w:lang w:val="pt-BR"/>
        </w:rPr>
      </w:pPr>
      <w:r>
        <w:rPr>
          <w:lang w:val="pt-BR"/>
        </w:rPr>
        <w:t>Participantes com IVL estão sujeitos a mortalidade diferente dos participantes sem IVL;</w:t>
      </w:r>
    </w:p>
    <w:p>
      <w:pPr>
        <w:pStyle w:val="Compact"/>
        <w:numPr>
          <w:ilvl w:val="0"/>
          <w:numId w:val="28"/>
        </w:numPr>
        <w:rPr>
          <w:lang w:val="pt-BR"/>
        </w:rPr>
      </w:pPr>
      <w:r>
        <w:rPr>
          <w:lang w:val="pt-BR"/>
        </w:rPr>
        <w:t>Participantes com IVL possuem DVL diferente dos participantes sem IVL;</w:t>
      </w:r>
    </w:p>
    <w:p>
      <w:pPr>
        <w:pStyle w:val="Compact"/>
        <w:numPr>
          <w:ilvl w:val="0"/>
          <w:numId w:val="29"/>
        </w:numPr>
        <w:rPr>
          <w:lang w:val="pt-BR"/>
        </w:rPr>
      </w:pPr>
      <w:r>
        <w:rPr>
          <w:lang w:val="pt-BR"/>
        </w:rPr>
        <w:t>Participantes com IVL possuem estadiamento diferente dos participantes sem IVL;</w:t>
      </w:r>
    </w:p>
    <w:p>
      <w:pPr>
        <w:pStyle w:val="Compact"/>
        <w:numPr>
          <w:ilvl w:val="0"/>
          <w:numId w:val="30"/>
        </w:numPr>
        <w:rPr>
          <w:lang w:val="pt-BR"/>
        </w:rPr>
      </w:pPr>
      <w:r>
        <w:rPr>
          <w:lang w:val="pt-BR"/>
        </w:rPr>
        <w:t>Participantes com IVL possuem número de linfonodos acometidos diferente dos participantes sem IVL;</w:t>
      </w:r>
    </w:p>
    <w:p>
      <w:pPr>
        <w:pStyle w:val="Compact"/>
        <w:numPr>
          <w:ilvl w:val="0"/>
          <w:numId w:val="31"/>
        </w:numPr>
        <w:rPr>
          <w:lang w:val="pt-BR"/>
        </w:rPr>
      </w:pPr>
      <w:bookmarkStart w:id="6" w:name="contexto"/>
      <w:bookmarkStart w:id="7" w:name="hipóteses"/>
      <w:r>
        <w:rPr>
          <w:lang w:val="pt-BR"/>
        </w:rPr>
        <w:t>Participantes com IVL possuem tamanho do tumor diferente dos participantes sem IVL.</w:t>
      </w:r>
      <w:bookmarkEnd w:id="6"/>
      <w:bookmarkEnd w:id="7"/>
    </w:p>
    <w:p>
      <w:pPr>
        <w:pStyle w:val="Heading1"/>
        <w:rPr>
          <w:lang w:val="pt-BR"/>
        </w:rPr>
      </w:pPr>
      <w:bookmarkStart w:id="8" w:name="__RefHeading___Toc938_3324254022"/>
      <w:bookmarkEnd w:id="8"/>
      <w:r>
        <w:rPr>
          <w:lang w:val="pt-BR"/>
        </w:rPr>
        <w:t>Dados</w:t>
      </w:r>
    </w:p>
    <w:p>
      <w:pPr>
        <w:pStyle w:val="Heading2"/>
        <w:rPr>
          <w:lang w:val="pt-BR"/>
        </w:rPr>
      </w:pPr>
      <w:bookmarkStart w:id="9" w:name="__RefHeading___Toc940_3324254022"/>
      <w:bookmarkEnd w:id="9"/>
      <w:r>
        <w:rPr>
          <w:lang w:val="pt-BR"/>
        </w:rPr>
        <w:t>Dados brutos</w:t>
      </w:r>
    </w:p>
    <w:p>
      <w:pPr>
        <w:pStyle w:val="FirstParagraph"/>
        <w:rPr>
          <w:lang w:val="pt-BR"/>
        </w:rPr>
      </w:pPr>
      <w:bookmarkStart w:id="10" w:name="dados-brutos"/>
      <w:r>
        <w:rPr>
          <w:lang w:val="pt-BR"/>
        </w:rPr>
        <w:t>A base de dados original possuía 14 variáveis coletadas de 100 observações.</w:t>
      </w:r>
      <w:bookmarkEnd w:id="10"/>
    </w:p>
    <w:p>
      <w:pPr>
        <w:pStyle w:val="Heading2"/>
        <w:rPr>
          <w:lang w:val="pt-BR"/>
        </w:rPr>
      </w:pPr>
      <w:bookmarkStart w:id="11" w:name="__RefHeading___Toc942_3324254022"/>
      <w:bookmarkEnd w:id="11"/>
      <w:r>
        <w:rPr>
          <w:lang w:val="pt-BR"/>
        </w:rPr>
        <w:t>Tabela de dados analíticos</w:t>
      </w:r>
    </w:p>
    <w:p>
      <w:pPr>
        <w:pStyle w:val="FirstParagraph"/>
        <w:rPr>
          <w:lang w:val="pt-BR"/>
        </w:rPr>
      </w:pPr>
      <w:r>
        <w:rPr>
          <w:lang w:val="pt-BR"/>
        </w:rPr>
        <w:t>Depois dos procedimentos de limpeza e seleção 13 variáveis foram incluídas na análise com 100 observações. A Tabela 1 mostra a estrutura dos dados analíticos.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1</w:t>
      </w:r>
      <w:r>
        <w:rPr>
          <w:lang w:val="pt-BR"/>
        </w:rPr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81"/>
        <w:gridCol w:w="1161"/>
        <w:gridCol w:w="811"/>
        <w:gridCol w:w="931"/>
        <w:gridCol w:w="929"/>
        <w:gridCol w:w="696"/>
        <w:gridCol w:w="464"/>
        <w:gridCol w:w="580"/>
        <w:gridCol w:w="581"/>
        <w:gridCol w:w="584"/>
        <w:gridCol w:w="461"/>
        <w:gridCol w:w="1163"/>
        <w:gridCol w:w="695"/>
      </w:tblGrid>
      <w:tr>
        <w:trPr/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id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exposure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obito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dvl_it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dvl_pt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grau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cm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p_t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p_n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p_m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tu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num_linf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ki67</w:t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…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</w:tbl>
    <w:p>
      <w:pPr>
        <w:pStyle w:val="TextBody"/>
        <w:rPr>
          <w:lang w:val="pt-BR"/>
        </w:rPr>
      </w:pPr>
      <w:bookmarkStart w:id="12" w:name="dados"/>
      <w:bookmarkStart w:id="13" w:name="tabela-de-dados-analíticos"/>
      <w:r>
        <w:rPr>
          <w:lang w:val="pt-BR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End w:id="12"/>
      <w:bookmarkEnd w:id="13"/>
    </w:p>
    <w:p>
      <w:pPr>
        <w:pStyle w:val="Heading1"/>
        <w:rPr>
          <w:lang w:val="pt-BR"/>
        </w:rPr>
      </w:pPr>
      <w:bookmarkStart w:id="14" w:name="__RefHeading___Toc944_3324254022"/>
      <w:bookmarkEnd w:id="14"/>
      <w:r>
        <w:rPr>
          <w:lang w:val="pt-BR"/>
        </w:rPr>
        <w:t>Parâmetros do estudo</w:t>
      </w:r>
    </w:p>
    <w:p>
      <w:pPr>
        <w:pStyle w:val="Heading2"/>
        <w:rPr>
          <w:lang w:val="pt-BR"/>
        </w:rPr>
      </w:pPr>
      <w:bookmarkStart w:id="15" w:name="__RefHeading___Toc946_3324254022"/>
      <w:bookmarkEnd w:id="15"/>
      <w:r>
        <w:rPr>
          <w:lang w:val="pt-BR"/>
        </w:rPr>
        <w:t>Desenho do estudo</w:t>
      </w:r>
    </w:p>
    <w:p>
      <w:pPr>
        <w:pStyle w:val="FirstParagraph"/>
        <w:rPr>
          <w:lang w:val="pt-BR"/>
        </w:rPr>
      </w:pPr>
      <w:bookmarkStart w:id="16" w:name="desenho-do-estudo"/>
      <w:r>
        <w:rPr>
          <w:lang w:val="pt-BR"/>
        </w:rPr>
        <w:t>Estudo transversal, baseado em dados de prontuário.</w:t>
      </w:r>
      <w:bookmarkEnd w:id="16"/>
    </w:p>
    <w:p>
      <w:pPr>
        <w:pStyle w:val="Heading2"/>
        <w:rPr>
          <w:lang w:val="pt-BR"/>
        </w:rPr>
      </w:pPr>
      <w:bookmarkStart w:id="17" w:name="__RefHeading___Toc948_3324254022"/>
      <w:bookmarkEnd w:id="17"/>
      <w:r>
        <w:rPr>
          <w:lang w:val="pt-BR"/>
        </w:rPr>
        <w:t>Critérios de inclusão e exclusão</w:t>
      </w:r>
    </w:p>
    <w:p>
      <w:pPr>
        <w:pStyle w:val="FirstParagraph"/>
        <w:rPr>
          <w:lang w:val="pt-BR"/>
        </w:rPr>
      </w:pPr>
      <w:bookmarkStart w:id="18" w:name="critérios-de-inclusão-e-exclusão"/>
      <w:r>
        <w:rPr>
          <w:lang w:val="pt-BR"/>
        </w:rPr>
        <w:t>N/A</w:t>
      </w:r>
      <w:bookmarkEnd w:id="18"/>
    </w:p>
    <w:p>
      <w:pPr>
        <w:pStyle w:val="Heading2"/>
        <w:rPr>
          <w:lang w:val="pt-BR"/>
        </w:rPr>
      </w:pPr>
      <w:bookmarkStart w:id="19" w:name="__RefHeading___Toc950_3324254022"/>
      <w:bookmarkEnd w:id="19"/>
      <w:r>
        <w:rPr>
          <w:lang w:val="pt-BR"/>
        </w:rPr>
        <w:t>Exposições</w:t>
      </w:r>
    </w:p>
    <w:p>
      <w:pPr>
        <w:pStyle w:val="FirstParagraph"/>
        <w:rPr>
          <w:lang w:val="pt-BR"/>
        </w:rPr>
      </w:pPr>
      <w:bookmarkStart w:id="20" w:name="exposições"/>
      <w:r>
        <w:rPr>
          <w:lang w:val="pt-BR"/>
        </w:rPr>
        <w:t>IVL.</w:t>
      </w:r>
      <w:bookmarkEnd w:id="20"/>
    </w:p>
    <w:p>
      <w:pPr>
        <w:pStyle w:val="Heading2"/>
        <w:rPr>
          <w:lang w:val="pt-BR"/>
        </w:rPr>
      </w:pPr>
      <w:bookmarkStart w:id="21" w:name="__RefHeading___Toc952_3324254022"/>
      <w:bookmarkEnd w:id="21"/>
      <w:r>
        <w:rPr>
          <w:lang w:val="pt-BR"/>
        </w:rPr>
        <w:t>Desfechos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Especificação das medidas de desfecho</w:t>
      </w:r>
      <w:r>
        <w:rPr>
          <w:lang w:val="pt-BR"/>
        </w:rPr>
        <w:t xml:space="preserve"> (Zarin, 2011):</w:t>
      </w:r>
    </w:p>
    <w:p>
      <w:pPr>
        <w:pStyle w:val="Compact"/>
        <w:numPr>
          <w:ilvl w:val="0"/>
          <w:numId w:val="32"/>
        </w:numPr>
        <w:rPr>
          <w:lang w:val="pt-BR"/>
        </w:rPr>
      </w:pPr>
      <w:r>
        <w:rPr>
          <w:lang w:val="pt-BR"/>
        </w:rPr>
        <w:t>(Domínio) Câncer de mama</w:t>
      </w:r>
    </w:p>
    <w:p>
      <w:pPr>
        <w:pStyle w:val="Compact"/>
        <w:numPr>
          <w:ilvl w:val="0"/>
          <w:numId w:val="33"/>
        </w:numPr>
        <w:rPr>
          <w:lang w:val="pt-BR"/>
        </w:rPr>
      </w:pPr>
      <w:r>
        <w:rPr>
          <w:lang w:val="pt-BR"/>
        </w:rPr>
        <w:t>(Mensuração específica) DVL</w:t>
      </w:r>
    </w:p>
    <w:p>
      <w:pPr>
        <w:pStyle w:val="Compact"/>
        <w:numPr>
          <w:ilvl w:val="0"/>
          <w:numId w:val="34"/>
        </w:numPr>
        <w:rPr>
          <w:lang w:val="pt-BR"/>
        </w:rPr>
      </w:pPr>
      <w:r>
        <w:rPr>
          <w:lang w:val="pt-BR"/>
        </w:rPr>
        <w:t>(Métrica específica) Valor final</w:t>
      </w:r>
    </w:p>
    <w:p>
      <w:pPr>
        <w:pStyle w:val="Compact"/>
        <w:numPr>
          <w:ilvl w:val="0"/>
          <w:numId w:val="35"/>
        </w:numPr>
        <w:rPr>
          <w:lang w:val="pt-BR"/>
        </w:rPr>
      </w:pPr>
      <w:r>
        <w:rPr>
          <w:lang w:val="pt-BR"/>
        </w:rPr>
        <w:t>(Método de agregação) Média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Desfecho primário</w:t>
      </w:r>
    </w:p>
    <w:p>
      <w:pPr>
        <w:pStyle w:val="TextBody"/>
        <w:rPr>
          <w:lang w:val="pt-BR"/>
        </w:rPr>
      </w:pPr>
      <w:bookmarkStart w:id="22" w:name="desfechos"/>
      <w:r>
        <w:rPr>
          <w:lang w:val="pt-BR"/>
        </w:rPr>
        <w:t>Densidade vascular linfática.</w:t>
      </w:r>
      <w:bookmarkEnd w:id="22"/>
    </w:p>
    <w:p>
      <w:pPr>
        <w:pStyle w:val="Heading2"/>
        <w:rPr>
          <w:lang w:val="pt-BR"/>
        </w:rPr>
      </w:pPr>
      <w:bookmarkStart w:id="23" w:name="__RefHeading___Toc954_3324254022"/>
      <w:bookmarkEnd w:id="23"/>
      <w:r>
        <w:rPr>
          <w:lang w:val="pt-BR"/>
        </w:rPr>
        <w:t>Covariáveis</w:t>
      </w:r>
    </w:p>
    <w:p>
      <w:pPr>
        <w:pStyle w:val="FirstParagraph"/>
        <w:rPr>
          <w:lang w:val="pt-BR"/>
        </w:rPr>
      </w:pPr>
      <w:bookmarkStart w:id="24" w:name="parâmetros-do-estudo"/>
      <w:bookmarkStart w:id="25" w:name="covariáveis"/>
      <w:r>
        <w:rPr>
          <w:lang w:val="pt-BR"/>
        </w:rPr>
        <w:t>Não estão planejadas análises multivariadas que ajustam as estimativas por covariáveis.</w:t>
      </w:r>
      <w:bookmarkEnd w:id="24"/>
      <w:bookmarkEnd w:id="25"/>
    </w:p>
    <w:p>
      <w:pPr>
        <w:pStyle w:val="Heading1"/>
        <w:rPr>
          <w:lang w:val="pt-BR"/>
        </w:rPr>
      </w:pPr>
      <w:bookmarkStart w:id="26" w:name="__RefHeading___Toc956_3324254022"/>
      <w:bookmarkStart w:id="27" w:name="métodos-estatísticos"/>
      <w:bookmarkEnd w:id="26"/>
      <w:r>
        <w:rPr>
          <w:lang w:val="pt-BR"/>
        </w:rPr>
        <w:t>Métodos estatísticos</w:t>
      </w:r>
    </w:p>
    <w:p>
      <w:pPr>
        <w:pStyle w:val="Heading2"/>
        <w:rPr>
          <w:lang w:val="pt-BR"/>
        </w:rPr>
      </w:pPr>
      <w:bookmarkStart w:id="28" w:name="__RefHeading___Toc958_3324254022"/>
      <w:bookmarkEnd w:id="28"/>
      <w:r>
        <w:rPr>
          <w:lang w:val="pt-BR"/>
        </w:rPr>
        <w:t>Análises estatísticas</w:t>
      </w:r>
    </w:p>
    <w:p>
      <w:pPr>
        <w:pStyle w:val="Heading3"/>
        <w:rPr>
          <w:lang w:val="pt-BR"/>
        </w:rPr>
      </w:pPr>
      <w:bookmarkStart w:id="29" w:name="__RefHeading___Toc960_3324254022"/>
      <w:bookmarkEnd w:id="29"/>
      <w:r>
        <w:rPr>
          <w:lang w:val="pt-BR"/>
        </w:rPr>
        <w:t>Análise descritiva</w:t>
      </w:r>
    </w:p>
    <w:p>
      <w:pPr>
        <w:pStyle w:val="FirstParagraph"/>
        <w:rPr>
          <w:lang w:val="pt-BR"/>
        </w:rPr>
      </w:pPr>
      <w:bookmarkStart w:id="30" w:name="análise-descritiva"/>
      <w:r>
        <w:rPr>
          <w:lang w:val="pt-BR"/>
        </w:rPr>
        <w:t>O perfil epidemiológico dos participantes do estudo será descrito na baseline. As características demográficas  e clínicas  serão descritas como média (DP)  ou frequência e proporção (%), conforme apropriado. As distribuições das características dos participantes serão resumidas em tabelas e visualizadas em gráficos exploratórios</w:t>
      </w:r>
      <w:bookmarkEnd w:id="30"/>
    </w:p>
    <w:p>
      <w:pPr>
        <w:pStyle w:val="Heading3"/>
        <w:rPr>
          <w:lang w:val="pt-BR"/>
        </w:rPr>
      </w:pPr>
      <w:bookmarkStart w:id="31" w:name="__RefHeading___Toc962_3324254022"/>
      <w:bookmarkEnd w:id="31"/>
      <w:r>
        <w:rPr>
          <w:lang w:val="pt-BR"/>
        </w:rPr>
        <w:t>Análise inferencial</w:t>
      </w:r>
    </w:p>
    <w:p>
      <w:pPr>
        <w:pStyle w:val="FirstParagraph"/>
        <w:rPr>
          <w:lang w:val="pt-BR"/>
        </w:rPr>
      </w:pPr>
      <w:bookmarkStart w:id="32" w:name="análise-inferencial"/>
      <w:r>
        <w:rPr>
          <w:lang w:val="pt-BR"/>
        </w:rPr>
        <w:t>Todas as comparações entre os grupos serão avaliadas como análises univariadas. Variáveis contínuas serão comparadas entre os grupos com o teste t de grupos independentes com a correção de Welch ou com o de soma de postos de Wilcoxon (Mann-Whitney). Diferenças nas distribuições de variáveis categóricas serão avaliadas com o teste exato de Fisher.</w:t>
      </w:r>
      <w:bookmarkEnd w:id="32"/>
    </w:p>
    <w:p>
      <w:pPr>
        <w:pStyle w:val="Heading3"/>
        <w:rPr>
          <w:lang w:val="pt-BR"/>
        </w:rPr>
      </w:pPr>
      <w:bookmarkStart w:id="33" w:name="__RefHeading___Toc964_3324254022"/>
      <w:bookmarkEnd w:id="33"/>
      <w:r>
        <w:rPr>
          <w:lang w:val="pt-BR"/>
        </w:rPr>
        <w:t>Modelagem estatística</w:t>
      </w:r>
    </w:p>
    <w:p>
      <w:pPr>
        <w:pStyle w:val="FirstParagraph"/>
        <w:rPr>
          <w:lang w:val="pt-BR"/>
        </w:rPr>
      </w:pPr>
      <w:bookmarkStart w:id="34" w:name="modelagem-estatística"/>
      <w:r>
        <w:rPr>
          <w:lang w:val="pt-BR"/>
        </w:rPr>
        <w:t>N/A</w:t>
      </w:r>
      <w:bookmarkEnd w:id="34"/>
    </w:p>
    <w:p>
      <w:pPr>
        <w:pStyle w:val="Heading3"/>
        <w:rPr>
          <w:lang w:val="pt-BR"/>
        </w:rPr>
      </w:pPr>
      <w:bookmarkStart w:id="35" w:name="__RefHeading___Toc966_3324254022"/>
      <w:bookmarkEnd w:id="35"/>
      <w:r>
        <w:rPr>
          <w:lang w:val="pt-BR"/>
        </w:rPr>
        <w:t>Dados faltantes</w:t>
      </w:r>
    </w:p>
    <w:p>
      <w:pPr>
        <w:pStyle w:val="FirstParagraph"/>
        <w:rPr>
          <w:lang w:val="pt-BR"/>
        </w:rPr>
      </w:pPr>
      <w:bookmarkStart w:id="36" w:name="análises-estatísticas"/>
      <w:bookmarkStart w:id="37" w:name="dados-faltantes"/>
      <w:r>
        <w:rPr>
          <w:lang w:val="pt-BR"/>
        </w:rPr>
        <w:t>Não serão realizadas imputações de dados faltantes. Todas as avaliações serão realizadas como análises de casos completos. As frequências e proporções de dados faltantes serão reportadas em tabelas.</w:t>
      </w:r>
      <w:bookmarkEnd w:id="36"/>
      <w:bookmarkEnd w:id="37"/>
    </w:p>
    <w:p>
      <w:pPr>
        <w:pStyle w:val="Heading2"/>
        <w:rPr>
          <w:lang w:val="pt-BR"/>
        </w:rPr>
      </w:pPr>
      <w:bookmarkStart w:id="38" w:name="__RefHeading___Toc968_3324254022"/>
      <w:bookmarkEnd w:id="38"/>
      <w:r>
        <w:rPr>
          <w:lang w:val="pt-BR"/>
        </w:rPr>
        <w:t>Significância e Intervalos de Confiança</w:t>
      </w:r>
    </w:p>
    <w:p>
      <w:pPr>
        <w:pStyle w:val="FirstParagraph"/>
        <w:rPr>
          <w:lang w:val="pt-BR"/>
        </w:rPr>
      </w:pPr>
      <w:bookmarkStart w:id="39" w:name="significância-e-intervalos-de-confiança"/>
      <w:r>
        <w:rPr>
          <w:lang w:val="pt-BR"/>
        </w:rPr>
        <w:t>Todas as análises serão realizadas ao nível de significância de 5%. Todos os testes de hipóteses e intervalos de confiança calculados serão bicaudais.</w:t>
      </w:r>
      <w:bookmarkEnd w:id="39"/>
    </w:p>
    <w:p>
      <w:pPr>
        <w:pStyle w:val="Heading2"/>
        <w:rPr>
          <w:lang w:val="pt-BR"/>
        </w:rPr>
      </w:pPr>
      <w:bookmarkStart w:id="40" w:name="__RefHeading___Toc970_3324254022"/>
      <w:bookmarkEnd w:id="40"/>
      <w:r>
        <w:rPr>
          <w:lang w:val="pt-BR"/>
        </w:rPr>
        <w:t>Tamanho da amostra e Poder</w:t>
      </w:r>
    </w:p>
    <w:p>
      <w:pPr>
        <w:pStyle w:val="FirstParagraph"/>
        <w:rPr>
          <w:lang w:val="pt-BR"/>
        </w:rPr>
      </w:pPr>
      <w:bookmarkStart w:id="41" w:name="tamanho-da-amostra-e-poder"/>
      <w:r>
        <w:rPr>
          <w:lang w:val="pt-BR"/>
        </w:rPr>
        <w:t>N/A</w:t>
      </w:r>
      <w:bookmarkEnd w:id="41"/>
    </w:p>
    <w:p>
      <w:pPr>
        <w:pStyle w:val="Heading2"/>
        <w:rPr>
          <w:lang w:val="pt-BR"/>
        </w:rPr>
      </w:pPr>
      <w:bookmarkStart w:id="42" w:name="__RefHeading___Toc972_3324254022"/>
      <w:bookmarkStart w:id="43" w:name="softwares-utilizados"/>
      <w:bookmarkEnd w:id="42"/>
      <w:r>
        <w:rPr>
          <w:lang w:val="pt-BR"/>
        </w:rPr>
        <w:t>Softwares utilizados</w:t>
      </w:r>
    </w:p>
    <w:p>
      <w:pPr>
        <w:pStyle w:val="FirstParagraph"/>
        <w:rPr/>
      </w:pPr>
      <w:r>
        <w:rPr>
          <w:lang w:val="pt-BR"/>
        </w:rPr>
        <w:t xml:space="preserve">Esta análise será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4.2.1.</w:t>
      </w:r>
      <w:bookmarkEnd w:id="27"/>
      <w:bookmarkEnd w:id="43"/>
    </w:p>
    <w:p>
      <w:pPr>
        <w:pStyle w:val="Heading1"/>
        <w:rPr>
          <w:lang w:val="pt-BR"/>
        </w:rPr>
      </w:pPr>
      <w:bookmarkStart w:id="44" w:name="__RefHeading___Toc974_3324254022"/>
      <w:bookmarkEnd w:id="44"/>
      <w:r>
        <w:rPr>
          <w:lang w:val="pt-BR"/>
        </w:rPr>
        <w:t>Observações e limitações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Guideline recomendado de relato completo</w:t>
      </w:r>
    </w:p>
    <w:p>
      <w:pPr>
        <w:pStyle w:val="TextBody"/>
        <w:rPr/>
      </w:pPr>
      <w:r>
        <w:rPr>
          <w:lang w:val="pt-BR"/>
        </w:rPr>
        <w:t>A adoção dos guidelines de relato da rede EQUATOR (</w:t>
      </w:r>
      <w:hyperlink r:id="rId2">
        <w:r>
          <w:rPr>
            <w:rStyle w:val="InternetLink"/>
            <w:lang w:val="pt-BR"/>
          </w:rPr>
          <w:t>http://www.equator-network.org/</w:t>
        </w:r>
      </w:hyperlink>
      <w:r>
        <w:rPr>
          <w:lang w:val="pt-BR"/>
        </w:rPr>
        <w:t>) têm sido ampliada em revistas científicas. Recomenda-se que todos os estudos observacionais sigam o guideline STROBE (von Elm et al, 2014).</w:t>
      </w:r>
    </w:p>
    <w:p>
      <w:pPr>
        <w:pStyle w:val="TextBody"/>
        <w:rPr>
          <w:lang w:val="pt-BR"/>
        </w:rPr>
      </w:pPr>
      <w:bookmarkStart w:id="45" w:name="observações-e-limitações"/>
      <w:r>
        <w:rPr>
          <w:lang w:val="pt-BR"/>
        </w:rPr>
        <w:t>Em particular quando um estudo retrospectivo é conduzido usando registros hospitalares de rotina, incluindo informações de prontuários, é recomendado que a extensão RECORD do guideline STROBE seja considerado (Benchimol et al, 2015).</w:t>
      </w:r>
      <w:bookmarkEnd w:id="45"/>
    </w:p>
    <w:p>
      <w:pPr>
        <w:pStyle w:val="Heading1"/>
        <w:rPr>
          <w:lang w:val="pt-BR"/>
        </w:rPr>
      </w:pPr>
      <w:bookmarkStart w:id="46" w:name="__RefHeading___Toc976_3324254022"/>
      <w:bookmarkStart w:id="47" w:name="referências"/>
      <w:bookmarkEnd w:id="46"/>
      <w:r>
        <w:rPr>
          <w:lang w:val="pt-BR"/>
        </w:rPr>
        <w:t>Referências</w:t>
      </w:r>
    </w:p>
    <w:p>
      <w:pPr>
        <w:pStyle w:val="Compact"/>
        <w:numPr>
          <w:ilvl w:val="0"/>
          <w:numId w:val="36"/>
        </w:numPr>
        <w:rPr>
          <w:lang w:val="pt-BR"/>
        </w:rPr>
      </w:pPr>
      <w:r>
        <w:rPr>
          <w:b/>
          <w:bCs/>
          <w:lang w:val="pt-BR"/>
        </w:rPr>
        <w:t>SAR-2023-007-TG-v01</w:t>
      </w:r>
      <w:r>
        <w:rPr>
          <w:lang w:val="pt-BR"/>
        </w:rPr>
        <w:t xml:space="preserve"> – Associação entre invasão vascular linfática na densidade vascular linfática </w:t>
      </w:r>
      <w:r>
        <w:rPr>
          <w:lang w:val="pt-BR"/>
        </w:rPr>
        <w:t xml:space="preserve">e mortalidade </w:t>
      </w:r>
      <w:r>
        <w:rPr>
          <w:lang w:val="pt-BR"/>
        </w:rPr>
        <w:t xml:space="preserve">em pacientes com câncer de mama: estudo transversal </w:t>
      </w:r>
    </w:p>
    <w:p>
      <w:pPr>
        <w:pStyle w:val="Compact"/>
        <w:numPr>
          <w:ilvl w:val="0"/>
          <w:numId w:val="37"/>
        </w:numPr>
        <w:rPr/>
      </w:pPr>
      <w:r>
        <w:rPr>
          <w:lang w:val="pt-BR"/>
        </w:rPr>
        <w:t>Zarin DA, et al. The ClinicalTrials.gov results database – update and key issues. N Engl J Med 2011;364:852-60 (</w:t>
      </w:r>
      <w:hyperlink r:id="rId3">
        <w:r>
          <w:rPr>
            <w:rStyle w:val="InternetLink"/>
            <w:lang w:val="pt-BR"/>
          </w:rPr>
          <w:t>https://doi.org/10.1056/NEJMsa1012065</w:t>
        </w:r>
      </w:hyperlink>
      <w:r>
        <w:rPr>
          <w:lang w:val="pt-BR"/>
        </w:rPr>
        <w:t>).</w:t>
      </w:r>
    </w:p>
    <w:p>
      <w:pPr>
        <w:pStyle w:val="Compact"/>
        <w:numPr>
          <w:ilvl w:val="0"/>
          <w:numId w:val="38"/>
        </w:numPr>
        <w:rPr/>
      </w:pPr>
      <w:r>
        <w:rPr>
          <w:lang w:val="pt-BR"/>
        </w:rPr>
        <w:t>Gamble C, et al. Guidelines for the Content of Statistical Analysis Plans in Clinical Trials. JAMA. 2017;318(23):2337–2343 (</w:t>
      </w:r>
      <w:hyperlink r:id="rId4">
        <w:r>
          <w:rPr>
            <w:rStyle w:val="InternetLink"/>
            <w:lang w:val="pt-BR"/>
          </w:rPr>
          <w:t>https://doi.org/10.1001/jama.2017.18556</w:t>
        </w:r>
      </w:hyperlink>
      <w:r>
        <w:rPr>
          <w:lang w:val="pt-BR"/>
        </w:rPr>
        <w:t>).</w:t>
      </w:r>
    </w:p>
    <w:p>
      <w:pPr>
        <w:pStyle w:val="Compact"/>
        <w:numPr>
          <w:ilvl w:val="0"/>
          <w:numId w:val="39"/>
        </w:numPr>
        <w:rPr/>
      </w:pPr>
      <w:r>
        <w:rPr>
          <w:lang w:val="pt-BR"/>
        </w:rPr>
        <w:t>von Elm E, Altman DG, Egger M, Pocock SJ, Gøtzsche PC, Vandenbroucke JP; STROBE Initiative. The Strengthening the Reporting of Observational Studies in Epidemiology (STROBE) Statement: guidelines for reporting observational studies. Int J Surg. 2014 Dec;12(12):1495-9 (</w:t>
      </w:r>
      <w:hyperlink r:id="rId5">
        <w:r>
          <w:rPr>
            <w:rStyle w:val="InternetLink"/>
            <w:lang w:val="pt-BR"/>
          </w:rPr>
          <w:t>https://doi.org/10.1016/j.ijsu.2014.07.013</w:t>
        </w:r>
      </w:hyperlink>
      <w:r>
        <w:rPr>
          <w:lang w:val="pt-BR"/>
        </w:rPr>
        <w:t>).</w:t>
      </w:r>
    </w:p>
    <w:p>
      <w:pPr>
        <w:pStyle w:val="Compact"/>
        <w:numPr>
          <w:ilvl w:val="0"/>
          <w:numId w:val="40"/>
        </w:numPr>
        <w:rPr/>
      </w:pPr>
      <w:r>
        <w:rPr>
          <w:lang w:val="pt-BR"/>
        </w:rPr>
        <w:t>Benchimol EI, Smeeth L, Guttmann A, Harron K, Moher D, Petersen I, Sørensen HT, von Elm E, Langan SM; RECORD Working Committee. The REporting of studies Conducted using Observational Routinely-collected health Data (RECORD) statement. PLoS Med. 2015 Oct 6;12(10):e1001885 (</w:t>
      </w:r>
      <w:hyperlink r:id="rId6">
        <w:r>
          <w:rPr>
            <w:rStyle w:val="InternetLink"/>
            <w:lang w:val="pt-BR"/>
          </w:rPr>
          <w:t>https://doi.org/10.1371/journal.pmed.1001885</w:t>
        </w:r>
      </w:hyperlink>
      <w:r>
        <w:rPr>
          <w:lang w:val="pt-BR"/>
        </w:rPr>
        <w:t xml:space="preserve">).   </w:t>
      </w:r>
      <w:bookmarkEnd w:id="47"/>
    </w:p>
    <w:p>
      <w:pPr>
        <w:pStyle w:val="Heading1"/>
        <w:rPr>
          <w:lang w:val="pt-BR"/>
        </w:rPr>
      </w:pPr>
      <w:bookmarkStart w:id="48" w:name="__RefHeading___Toc978_3324254022"/>
      <w:bookmarkEnd w:id="48"/>
      <w:r>
        <w:rPr>
          <w:lang w:val="pt-BR"/>
        </w:rPr>
        <w:t>Apêndice</w:t>
      </w:r>
    </w:p>
    <w:p>
      <w:pPr>
        <w:pStyle w:val="FirstParagraph"/>
        <w:rPr>
          <w:lang w:val="pt-BR"/>
        </w:rPr>
      </w:pPr>
      <w:r>
        <w:rPr>
          <w:lang w:val="pt-BR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/>
        </w:rPr>
      </w:pPr>
      <w:bookmarkStart w:id="49" w:name="__RefHeading___Toc980_3324254022"/>
      <w:bookmarkEnd w:id="49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Todos os documentos gerados nessa consultoria foram incluídos no portfólio do consultor.</w:t>
      </w:r>
    </w:p>
    <w:p>
      <w:pPr>
        <w:pStyle w:val="TextBody"/>
        <w:rPr>
          <w:lang w:val="pt-BR"/>
        </w:rPr>
      </w:pPr>
      <w:r>
        <w:rPr>
          <w:lang w:val="pt-BR"/>
        </w:rPr>
        <w:t>O portfólio pode ser visto em:</w:t>
      </w:r>
    </w:p>
    <w:p>
      <w:pPr>
        <w:pStyle w:val="TextBody"/>
        <w:spacing w:before="180" w:after="180"/>
        <w:rPr/>
      </w:pPr>
      <w:hyperlink r:id="rId7">
        <w:bookmarkStart w:id="50" w:name="apêndice"/>
        <w:bookmarkStart w:id="51" w:name="disponibilidade"/>
        <w:r>
          <w:rPr>
            <w:rStyle w:val="InternetLink"/>
            <w:lang w:val="pt-BR"/>
          </w:rPr>
          <w:t>https://philsf-biostat.github.io/SAR-2023-007-TG/</w:t>
        </w:r>
      </w:hyperlink>
      <w:bookmarkEnd w:id="50"/>
      <w:bookmarkEnd w:id="51"/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  <w:lvlOverride w:ilvl="0">
      <w:startOverride w:val="1"/>
    </w:lvlOverride>
  </w:num>
  <w:num w:numId="33">
    <w:abstractNumId w:val="3"/>
  </w:num>
  <w:num w:numId="34">
    <w:abstractNumId w:val="3"/>
  </w:num>
  <w:num w:numId="35">
    <w:abstractNumId w:val="3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quator-network.org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doi.org/10.1016/j.ijsu.2014.07.013" TargetMode="External"/><Relationship Id="rId6" Type="http://schemas.openxmlformats.org/officeDocument/2006/relationships/hyperlink" Target="https://doi.org/10.1371/journal.pmed.1001885" TargetMode="External"/><Relationship Id="rId7" Type="http://schemas.openxmlformats.org/officeDocument/2006/relationships/hyperlink" Target="https://philsf-biostat.github.io/SAR-2023-007-TG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LibreOffice/7.5.0.3$Linux_X86_64 LibreOffice_project/50$Build-3</Application>
  <AppVersion>15.0000</AppVersion>
  <Pages>6</Pages>
  <Words>1054</Words>
  <Characters>6336</Characters>
  <CharactersWithSpaces>7300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2023-02-07T05:10:10Z</dcterms:created>
  <dc:creator>De: Felipe Figueiredo Para: Teresa Gutman</dc:creator>
  <dc:description/>
  <dc:language>pt-BR</dc:language>
  <cp:lastModifiedBy/>
  <dcterms:modified xsi:type="dcterms:W3CDTF">2023-02-07T02:13:29Z</dcterms:modified>
  <cp:revision>3</cp:revision>
  <dc:subject/>
  <dc:title>Plano Analítico para Associação entre invasão vascular linfática na mortalidade e densidade vascular linfática em pacientes com câncer de mama: estudo transversal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/>
  </property>
  <property fmtid="{D5CDD505-2E9C-101B-9397-08002B2CF9AE}" pid="4" name="subtitle">
    <vt:lpwstr>DOCUMENTO: SAP-2023-007-TG-v01</vt:lpwstr>
  </property>
  <property fmtid="{D5CDD505-2E9C-101B-9397-08002B2CF9AE}" pid="5" name="toc-title">
    <vt:lpwstr>Sumário</vt:lpwstr>
  </property>
</Properties>
</file>