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>
          <w:lang w:val="pt-BR"/>
        </w:rPr>
      </w:pPr>
      <w:r>
        <w:rPr>
          <w:lang w:val="pt-BR"/>
        </w:rPr>
        <w:t>Associação entre invasão vascular linfática na densidade vascular linfática e mortalidade em pacientes com câncer de mama: estudo transversal</w:t>
      </w:r>
    </w:p>
    <w:p>
      <w:pPr>
        <w:pStyle w:val="Subtitle"/>
        <w:rPr>
          <w:lang w:val="pt-BR"/>
        </w:rPr>
      </w:pPr>
      <w:r>
        <w:rPr>
          <w:lang w:val="pt-BR"/>
        </w:rPr>
        <w:t>DOCUMENTO: SAR-2023-007-TG-v01</w:t>
      </w:r>
    </w:p>
    <w:p>
      <w:pPr>
        <w:pStyle w:val="Author"/>
        <w:rPr>
          <w:lang w:val="pt-BR"/>
        </w:rPr>
      </w:pPr>
      <w:r>
        <w:rPr>
          <w:b/>
          <w:bCs/>
          <w:lang w:val="pt-BR"/>
        </w:rPr>
        <w:t>De:</w:t>
      </w:r>
      <w:r>
        <w:rPr>
          <w:lang w:val="pt-BR"/>
        </w:rPr>
        <w:t xml:space="preserve"> Felipe Figueiredo </w:t>
      </w:r>
      <w:r>
        <w:rPr>
          <w:b/>
          <w:bCs/>
          <w:lang w:val="pt-BR"/>
        </w:rPr>
        <w:t>Para:</w:t>
      </w:r>
      <w:r>
        <w:rPr>
          <w:lang w:val="pt-BR"/>
        </w:rPr>
        <w:t xml:space="preserve"> Teresa Gutman</w:t>
      </w:r>
    </w:p>
    <w:p>
      <w:pPr>
        <w:pStyle w:val="Date"/>
        <w:rPr>
          <w:lang w:val="pt-BR"/>
        </w:rPr>
      </w:pPr>
      <w:r>
        <w:rPr>
          <w:lang w:val="pt-BR"/>
        </w:rPr>
        <w:t>2023-02-06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spacing w:lineRule="auto" w:line="259" w:before="240" w:after="0"/>
            <w:ind w:left="0" w:hanging="0"/>
            <w:jc w:val="center"/>
            <w:rPr>
              <w:lang w:val="pt-BR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  <w:lang w:val="pt-BR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  <w:lang w:val="pt-BR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lang w:val="pt-BR"/>
            </w:rPr>
            <w:fldChar w:fldCharType="separate"/>
          </w:r>
          <w:hyperlink w:anchor="__RefHeading___Toc2759_107149855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1  Lista de abreviaturas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761_107149855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2  Contexto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763_107149855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2.1  Objetivos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765_107149855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3  Metodologia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767_107149855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4  Resultados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769_107149855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4.1  População do estudo e acompanhamento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771_107149855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4.2  Análise inferencial</w:t>
              <w:tab/>
              <w:t>7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773_107149855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5  Observações e limitações</w:t>
              <w:tab/>
              <w:t>8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775_107149855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6  Conclusões</w:t>
              <w:tab/>
              <w:t>9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777_107149855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7  Referências</w:t>
              <w:tab/>
              <w:t>9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779_107149855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8  Apêndice</w:t>
              <w:tab/>
              <w:t>10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781_107149855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8.1  Análise exploratória de dados</w:t>
              <w:tab/>
              <w:t>10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783_107149855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8.2  Disponibilidade</w:t>
              <w:tab/>
              <w:t>10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785_107149855">
            <w:r>
              <w:rPr>
                <w:webHidden/>
                <w:rStyle w:val="IndexLink"/>
                <w:vanish w:val="false"/>
                <w:lang w:val="pt-BR"/>
              </w:rPr>
              <w:t xml:space="preserve"> </w:t>
            </w:r>
            <w:r>
              <w:rPr>
                <w:rStyle w:val="IndexLink"/>
                <w:lang w:val="pt-BR"/>
              </w:rPr>
              <w:t>8.3  Dados utilizados</w:t>
              <w:tab/>
              <w:t>10</w:t>
            </w:r>
          </w:hyperlink>
          <w:r>
            <w:rPr>
              <w:rStyle w:val="IndexLink"/>
              <w:lang w:val="pt-BR"/>
            </w:rPr>
            <w:fldChar w:fldCharType="end"/>
          </w:r>
        </w:p>
      </w:sdtContent>
    </w:sdt>
    <w:p>
      <w:pPr>
        <w:pStyle w:val="Normal"/>
        <w:rPr>
          <w:lang w:val="pt-BR"/>
        </w:rPr>
      </w:pPr>
      <w:r>
        <w:rPr>
          <w:lang w:val="pt-BR"/>
        </w:rPr>
        <mc:AlternateContent>
          <mc:Choice Requires="wps">
            <w:drawing>
              <wp:inline distT="0" distB="0" distL="0" distR="0">
                <wp:extent cx="612013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55pt;width:481.8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Title"/>
        <w:rPr>
          <w:lang w:val="pt-BR"/>
        </w:rPr>
      </w:pPr>
      <w:r>
        <w:rPr>
          <w:lang w:val="pt-BR"/>
        </w:rPr>
        <w:t>Associação entre invasão vascular linfática na densidade vascular linfática e mortalidade em pacientes com câncer de mama: estudo transversal</w:t>
      </w:r>
    </w:p>
    <w:p>
      <w:pPr>
        <w:pStyle w:val="TextBody"/>
        <w:rPr>
          <w:lang w:val="pt-BR"/>
        </w:rPr>
      </w:pPr>
      <w:r>
        <w:rPr>
          <w:b/>
          <w:bCs/>
          <w:lang w:val="pt-BR"/>
        </w:rPr>
        <w:t>Histórico do documento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911"/>
        <w:gridCol w:w="5726"/>
      </w:tblGrid>
      <w:tr>
        <w:trPr/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Versão</w:t>
            </w:r>
          </w:p>
        </w:tc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Alterações</w:t>
            </w:r>
          </w:p>
        </w:tc>
      </w:tr>
      <w:tr>
        <w:trPr/>
        <w:tc>
          <w:tcPr>
            <w:tcW w:w="39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01</w:t>
            </w:r>
          </w:p>
        </w:tc>
        <w:tc>
          <w:tcPr>
            <w:tcW w:w="5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Versão inicial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pt-BR"/>
        </w:rPr>
      </w:pPr>
      <w:bookmarkStart w:id="0" w:name="__RefHeading___Toc2759_107149855"/>
      <w:bookmarkStart w:id="1" w:name="lista-de-abreviaturas"/>
      <w:bookmarkEnd w:id="0"/>
      <w:r>
        <w:rPr>
          <w:lang w:val="pt-BR"/>
        </w:rPr>
        <w:t>Lista de abreviaturas</w:t>
      </w:r>
      <w:bookmarkEnd w:id="1"/>
    </w:p>
    <w:p>
      <w:pPr>
        <w:pStyle w:val="Heading1"/>
        <w:rPr>
          <w:lang w:val="pt-BR"/>
        </w:rPr>
      </w:pPr>
      <w:bookmarkStart w:id="2" w:name="__RefHeading___Toc2761_107149855"/>
      <w:bookmarkEnd w:id="2"/>
      <w:r>
        <w:rPr>
          <w:lang w:val="pt-BR"/>
        </w:rPr>
        <w:t>Contexto</w:t>
      </w:r>
    </w:p>
    <w:p>
      <w:pPr>
        <w:pStyle w:val="Heading2"/>
        <w:rPr>
          <w:lang w:val="pt-BR"/>
        </w:rPr>
      </w:pPr>
      <w:bookmarkStart w:id="3" w:name="__RefHeading___Toc2763_107149855"/>
      <w:bookmarkEnd w:id="3"/>
      <w:r>
        <w:rPr>
          <w:lang w:val="pt-BR"/>
        </w:rPr>
        <w:t>Objetivos</w:t>
      </w:r>
    </w:p>
    <w:p>
      <w:pPr>
        <w:pStyle w:val="Compact"/>
        <w:numPr>
          <w:ilvl w:val="0"/>
          <w:numId w:val="8"/>
        </w:numPr>
        <w:rPr>
          <w:lang w:val="pt-BR"/>
        </w:rPr>
      </w:pPr>
      <w:r>
        <w:rPr>
          <w:lang w:val="pt-BR"/>
        </w:rPr>
        <w:t>Avaliar a associação entre a invasão vascular linfática e a densidade vascular linfática peritumoral e intratumoral, mensuradas pelo marcador D2-40;</w:t>
      </w:r>
    </w:p>
    <w:p>
      <w:pPr>
        <w:pStyle w:val="Compact"/>
        <w:numPr>
          <w:ilvl w:val="0"/>
          <w:numId w:val="9"/>
        </w:numPr>
        <w:rPr>
          <w:lang w:val="pt-BR"/>
        </w:rPr>
      </w:pPr>
      <w:r>
        <w:rPr>
          <w:lang w:val="pt-BR"/>
        </w:rPr>
        <w:t>Avaliar a associação entre a invasão vascular linfática e a mortalidade;</w:t>
      </w:r>
    </w:p>
    <w:p>
      <w:pPr>
        <w:pStyle w:val="Compact"/>
        <w:numPr>
          <w:ilvl w:val="0"/>
          <w:numId w:val="10"/>
        </w:numPr>
        <w:rPr>
          <w:lang w:val="pt-BR"/>
        </w:rPr>
      </w:pPr>
      <w:r>
        <w:rPr>
          <w:lang w:val="pt-BR"/>
        </w:rPr>
        <w:t>Avaliar a associação entre a invasão vascular linfática e indicadores de patológico;</w:t>
      </w:r>
    </w:p>
    <w:p>
      <w:pPr>
        <w:pStyle w:val="Compact"/>
        <w:numPr>
          <w:ilvl w:val="0"/>
          <w:numId w:val="11"/>
        </w:numPr>
        <w:rPr>
          <w:lang w:val="pt-BR"/>
        </w:rPr>
      </w:pPr>
      <w:r>
        <w:rPr>
          <w:lang w:val="pt-BR"/>
        </w:rPr>
        <w:t>Avaliar a associação entre a invasão vascular linfática e o número de linfonodos acometidos;</w:t>
      </w:r>
    </w:p>
    <w:p>
      <w:pPr>
        <w:pStyle w:val="Compact"/>
        <w:numPr>
          <w:ilvl w:val="0"/>
          <w:numId w:val="12"/>
        </w:numPr>
        <w:rPr>
          <w:lang w:val="pt-BR"/>
        </w:rPr>
      </w:pPr>
      <w:bookmarkStart w:id="4" w:name="contexto"/>
      <w:bookmarkStart w:id="5" w:name="objetivos"/>
      <w:r>
        <w:rPr>
          <w:lang w:val="pt-BR"/>
        </w:rPr>
        <w:t>Avaliar a associação entre a invasão vascular linfática e o tamanho do tumor.</w:t>
      </w:r>
      <w:bookmarkEnd w:id="4"/>
      <w:bookmarkEnd w:id="5"/>
    </w:p>
    <w:p>
      <w:pPr>
        <w:pStyle w:val="Heading1"/>
        <w:rPr>
          <w:lang w:val="pt-BR"/>
        </w:rPr>
      </w:pPr>
      <w:bookmarkStart w:id="6" w:name="__RefHeading___Toc2765_107149855"/>
      <w:bookmarkStart w:id="7" w:name="metodologia"/>
      <w:bookmarkEnd w:id="6"/>
      <w:r>
        <w:rPr>
          <w:lang w:val="pt-BR"/>
        </w:rPr>
        <w:t>Metodologia</w:t>
      </w:r>
    </w:p>
    <w:p>
      <w:pPr>
        <w:pStyle w:val="FirstParagraph"/>
        <w:rPr>
          <w:lang w:val="pt-BR"/>
        </w:rPr>
      </w:pPr>
      <w:r>
        <w:rPr>
          <w:lang w:val="pt-BR"/>
        </w:rPr>
        <w:t xml:space="preserve">Os procedimentos de limpeza de dados, desenho do estudo e métodos de análise usados neste relatório estão descritos no documento anexo </w:t>
      </w:r>
      <w:r>
        <w:rPr>
          <w:b/>
          <w:bCs/>
          <w:lang w:val="pt-BR"/>
        </w:rPr>
        <w:t>SAP-2023-007-TG-v01</w:t>
      </w:r>
      <w:r>
        <w:rPr>
          <w:lang w:val="pt-BR"/>
        </w:rPr>
        <w:t>.</w:t>
      </w:r>
    </w:p>
    <w:p>
      <w:pPr>
        <w:pStyle w:val="TextBody"/>
        <w:rPr/>
      </w:pPr>
      <w:r>
        <w:rPr>
          <w:lang w:val="pt-BR"/>
        </w:rPr>
        <w:t xml:space="preserve">Esta análise foi realizada utilizando-se o software </w:t>
      </w:r>
      <w:r>
        <w:rPr>
          <w:rStyle w:val="VerbatimChar"/>
          <w:lang w:val="pt-BR"/>
        </w:rPr>
        <w:t>R</w:t>
      </w:r>
      <w:r>
        <w:rPr>
          <w:lang w:val="pt-BR"/>
        </w:rPr>
        <w:t xml:space="preserve"> versão 4.2.1.</w:t>
      </w:r>
      <w:bookmarkEnd w:id="7"/>
    </w:p>
    <w:p>
      <w:pPr>
        <w:pStyle w:val="Heading1"/>
        <w:rPr>
          <w:lang w:val="pt-BR"/>
        </w:rPr>
      </w:pPr>
      <w:bookmarkStart w:id="8" w:name="__RefHeading___Toc2767_107149855"/>
      <w:bookmarkEnd w:id="8"/>
      <w:r>
        <w:rPr>
          <w:lang w:val="pt-BR"/>
        </w:rPr>
        <w:t>Resultados</w:t>
      </w:r>
    </w:p>
    <w:p>
      <w:pPr>
        <w:pStyle w:val="Heading2"/>
        <w:rPr>
          <w:lang w:val="pt-BR"/>
        </w:rPr>
      </w:pPr>
      <w:bookmarkStart w:id="9" w:name="__RefHeading___Toc2769_107149855"/>
      <w:bookmarkEnd w:id="9"/>
      <w:r>
        <w:rPr>
          <w:lang w:val="pt-BR"/>
        </w:rPr>
        <w:t>População do estudo e acompanhamento</w:t>
      </w:r>
    </w:p>
    <w:p>
      <w:pPr>
        <w:pStyle w:val="FirstParagraph"/>
        <w:rPr>
          <w:lang w:val="pt-BR"/>
        </w:rPr>
      </w:pPr>
      <w:r>
        <w:rPr>
          <w:lang w:val="pt-BR"/>
        </w:rPr>
        <w:t>No total foram incluídos 100 participantes na análise, dos quais 56 (56%) compunham o grupo com IVL (Tabela 1). A média (DP) de DVL IT observada na amostra de estudo foi 1.66 (0.94) enquanto a DVL PT foi 9.46 (2.74).</w:t>
      </w:r>
    </w:p>
    <w:p>
      <w:pPr>
        <w:pStyle w:val="TextBody"/>
        <w:rPr>
          <w:lang w:val="pt-BR"/>
        </w:rPr>
      </w:pPr>
      <w:r>
        <w:rPr>
          <w:lang w:val="pt-BR"/>
        </w:rPr>
        <w:t>O estadiamento pT com maior prevalência na amostra foi 43 (43%), o estadiamento pM foi 29 (29%) e a maior parte da amostra não experimentou ocorrência de metástase à distância (pN = 78 (78%)).</w:t>
      </w:r>
    </w:p>
    <w:p>
      <w:pPr>
        <w:pStyle w:val="TableCaption"/>
        <w:rPr>
          <w:lang w:val="pt-BR"/>
        </w:rPr>
      </w:pPr>
      <w:r>
        <w:rPr>
          <w:b/>
          <w:bCs/>
          <w:lang w:val="pt-BR"/>
        </w:rPr>
        <w:t>Tabela 1</w:t>
      </w:r>
      <w:r>
        <w:rPr>
          <w:lang w:val="pt-BR"/>
        </w:rPr>
        <w:t xml:space="preserve"> Características dos participantes incluídos no estudo.</w:t>
      </w:r>
    </w:p>
    <w:tbl>
      <w:tblPr>
        <w:tblStyle w:val="Table"/>
        <w:tblW w:w="792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6451"/>
        <w:gridCol w:w="1468"/>
      </w:tblGrid>
      <w:tr>
        <w:trPr/>
        <w:tc>
          <w:tcPr>
            <w:tcW w:w="6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Características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N = 100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IVL, n (%)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56 (56%)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Óbito, n (%)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67 (67%)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DVL (IT), Média (Desvio Padrão)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1.66 (0.94)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DVL (PT), Média (Desvio Padrão)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9.46 (2.74)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Grau, n (%)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3 (3.0%)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13 (13%)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55 (55%)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3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29 (29%)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CM=4, n (%)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35 (35%)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48 (48%)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3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6 (6.0%)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4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11 (11%)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pT, n (%)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T0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3 (3.0%)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T1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14 (14%)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T2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43 (43%)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T3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12 (12%)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T4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28 (28%)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pN, n (%)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N0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28 (28%)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N1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22 (22%)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N2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21 (21%)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N3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29 (29%)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pM, n (%)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M0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78 (78%)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M1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22 (22%)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Tamanho do tumor (mm), Média (Desvio Padrão)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43 (26)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Número de linfonodos, Média (Desvio Padrão)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6 (8)</w:t>
            </w:r>
          </w:p>
        </w:tc>
      </w:tr>
      <w:tr>
        <w:trPr/>
        <w:tc>
          <w:tcPr>
            <w:tcW w:w="6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KI67, Média (Desvio Padrão)</w:t>
            </w: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19 (20)</w:t>
            </w:r>
          </w:p>
        </w:tc>
      </w:tr>
    </w:tbl>
    <w:p>
      <w:pPr>
        <w:pStyle w:val="TextBody"/>
        <w:rPr>
          <w:lang w:val="pt-BR"/>
        </w:rPr>
      </w:pPr>
      <w:r>
        <w:rPr>
          <w:lang w:val="pt-BR"/>
        </w:rPr>
        <w:t>Na figura 1 vê-se as distribuições dos indicadores categóricos, em ambos os grupos de participantes. A mortalidade (obito), pM e CM=4 apresentam distribuições semelhantes em ambos os grupos. O grau 0 do tumor não foi observado no grupo livre de IVL, assim como o estadiamento pT=T0. Apenas 1 (1.8%) participante tinha estadiamento pN=N0 no grupo com IVL.</w:t>
      </w:r>
    </w:p>
    <w:p>
      <w:pPr>
        <w:pStyle w:val="CaptionedFigure"/>
        <w:rPr>
          <w:lang w:val="pt-BR"/>
        </w:rPr>
      </w:pPr>
      <w:r>
        <w:rPr>
          <w:lang w:val="pt-BR"/>
        </w:rPr>
        <w:drawing>
          <wp:inline distT="0" distB="0" distL="0" distR="0">
            <wp:extent cx="4333240" cy="5777230"/>
            <wp:effectExtent l="0" t="0" r="0" b="0"/>
            <wp:docPr id="3" name="Picture" descr="Figura 1 Distribuição de ocorrência de cada CM=4, grau do tumor, mortalidade (óbito), e indicadores de estadiamento (pM, pN e pT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Figura 1 Distribuição de ocorrência de cada CM=4, grau do tumor, mortalidade (óbito), e indicadores de estadiamento (pM, pN e pT)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/>
        </w:rPr>
      </w:pPr>
      <w:r>
        <w:rPr>
          <w:b/>
          <w:bCs/>
          <w:lang w:val="pt-BR"/>
        </w:rPr>
        <w:t>Figura 1</w:t>
      </w:r>
      <w:r>
        <w:rPr>
          <w:lang w:val="pt-BR"/>
        </w:rPr>
        <w:t xml:space="preserve"> Distribuição de ocorrência de cada CM=4, grau do tumor, mortalidade (óbito), e indicadores de estadiamento (pM, pN e pT).</w:t>
      </w:r>
    </w:p>
    <w:p>
      <w:pPr>
        <w:pStyle w:val="CaptionedFigure"/>
        <w:rPr>
          <w:lang w:val="pt-BR"/>
        </w:rPr>
      </w:pPr>
      <w:r>
        <w:rPr>
          <w:lang w:val="pt-BR"/>
        </w:rPr>
        <w:drawing>
          <wp:inline distT="0" distB="0" distL="0" distR="0">
            <wp:extent cx="4333240" cy="5777230"/>
            <wp:effectExtent l="0" t="0" r="0" b="0"/>
            <wp:docPr id="4" name="Image2" descr="Figura 2 Densidade de distribuição da DVL, KI67, número de linfonodos et tamanho do tum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Figura 2 Densidade de distribuição da DVL, KI67, número de linfonodos et tamanho do tumor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/>
        </w:rPr>
      </w:pPr>
      <w:r>
        <w:rPr>
          <w:b/>
          <w:bCs/>
          <w:lang w:val="pt-BR"/>
        </w:rPr>
        <w:t>Figura 2</w:t>
      </w:r>
      <w:r>
        <w:rPr>
          <w:lang w:val="pt-BR"/>
        </w:rPr>
        <w:t xml:space="preserve"> Densidade de distribuição da DVL, KI67, número de linfonodos et tamanho do tumor.</w:t>
      </w:r>
    </w:p>
    <w:p>
      <w:pPr>
        <w:pStyle w:val="TextBody"/>
        <w:rPr>
          <w:lang w:val="pt-BR"/>
        </w:rPr>
      </w:pPr>
      <w:r>
        <w:rPr>
          <w:lang w:val="pt-BR"/>
        </w:rPr>
        <w:t>A figura 2 mostra as densidades das distribuições das variáveis contínuas em cada grupo. Ambas DVL exibem acumulações de frequências em tendências centrais semelhantes entre os grupos, assim como o KI-67. Apesar da localização da tendência central ser semelhante entre os grupos, tanto a DVL IT como o KI67 parecem ter uma distribuição bimodal no grupo livre de IVL. O tamanho do tumor (TU) parece ter sua tendência central em localizações semelhantes em ambos os grupos, mas o grupo IVL positivo parece ter uma distribuição bimodal mais bem definida que o grupo livre de IVL. O número de linfonodos acometidos no grupo livre de IVL parece ter uma acumulação substantialmebte maior em números baixos, enquanto o grupo IVL positivo possui uma amplitude maior em sua distribuição.</w:t>
      </w:r>
    </w:p>
    <w:p>
      <w:pPr>
        <w:pStyle w:val="TextBody"/>
        <w:rPr>
          <w:lang w:val="pt-BR"/>
        </w:rPr>
      </w:pPr>
      <w:bookmarkStart w:id="10" w:name="população-do-estudo-e-acompanhamento"/>
      <w:r>
        <w:rPr>
          <w:lang w:val="pt-BR"/>
        </w:rPr>
        <w:t>Diferenças nestas distribuições serão testadas na próxima seção. Todas as distribuições apresentam uma assimetria com cauda longa à direita, o que justifica a escolha do teste não paramétrico nos testes de significância.</w:t>
      </w:r>
      <w:bookmarkEnd w:id="10"/>
    </w:p>
    <w:p>
      <w:pPr>
        <w:pStyle w:val="Heading2"/>
        <w:rPr>
          <w:lang w:val="pt-BR"/>
        </w:rPr>
      </w:pPr>
      <w:bookmarkStart w:id="11" w:name="__RefHeading___Toc2771_107149855"/>
      <w:bookmarkEnd w:id="11"/>
      <w:r>
        <w:rPr>
          <w:lang w:val="pt-BR"/>
        </w:rPr>
        <w:t>Análise inferencial</w:t>
      </w:r>
    </w:p>
    <w:p>
      <w:pPr>
        <w:pStyle w:val="FirstParagraph"/>
        <w:rPr>
          <w:lang w:val="pt-BR"/>
        </w:rPr>
      </w:pPr>
      <w:r>
        <w:rPr>
          <w:lang w:val="pt-BR"/>
        </w:rPr>
        <w:t>A DVL IT parece ser maior no grupo IVL quando comparada ao grupo livre de IVL (p=0.009), mas notou-se uma maior variabilidade observada na distribuição deste grupo (Tabela 2). Ambos os grupos parecem ter ocorrências semelhantes tanto na DVL PT quanto na mortalidade.</w:t>
      </w:r>
    </w:p>
    <w:p>
      <w:pPr>
        <w:pStyle w:val="TableCaption"/>
        <w:rPr>
          <w:lang w:val="pt-BR"/>
        </w:rPr>
      </w:pPr>
      <w:r>
        <w:rPr>
          <w:b/>
          <w:bCs/>
          <w:lang w:val="pt-BR"/>
        </w:rPr>
        <w:t>Tabela 2</w:t>
      </w:r>
      <w:r>
        <w:rPr>
          <w:lang w:val="pt-BR"/>
        </w:rPr>
        <w:t xml:space="preserve"> Comparação entre os indicadores entre os grupos livre de IVL e IVL positivo.</w:t>
      </w:r>
    </w:p>
    <w:tbl>
      <w:tblPr>
        <w:tblStyle w:val="Table"/>
        <w:tblW w:w="9746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4932"/>
        <w:gridCol w:w="1567"/>
        <w:gridCol w:w="1177"/>
        <w:gridCol w:w="1177"/>
        <w:gridCol w:w="893"/>
      </w:tblGrid>
      <w:tr>
        <w:trPr/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Características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Total, N = 100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0, N = 44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1, N = 56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Valor p</w:t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Óbito, n (%)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67 (67%)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26 (59%)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41 (73%)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0.198</w:t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DVL (IT), Média (Desvio Padrão)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1.66 (0.94)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1.37 (0.64)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1.89 (1.07)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0.009</w:t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DVL (PT), Média (Desvio Padrão)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9.46 (2.74)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9.23 (2.65)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9.65 (2.82)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0.554</w:t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Grau, n (%)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0.039</w:t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3 (3.0%)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3 (6.8%)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 (0%)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13 (13%)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3 (6.8%)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10 (18%)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55 (55%)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28 (64%)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27 (48%)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3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29 (29%)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10 (23%)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19 (34%)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CM=4, n (%)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0.801</w:t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35 (35%)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16 (36%)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19 (34%)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48 (48%)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20 (45%)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28 (50%)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3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6 (6.0%)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 (4.5%)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4 (7.1%)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4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11 (11%)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6 (14%)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5 (8.9%)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pT, n (%)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0.006</w:t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T0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3 (3.0%)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3 (6.8%)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 (0%)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T1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14 (14%)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8 (18%)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6 (11%)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T2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43 (43%)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22 (50%)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21 (38%)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T3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12 (12%)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6 (14%)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6 (11%)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T4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28 (28%)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5 (11%)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23 (41%)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pN, n (%)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&lt;0.001</w:t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N0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28 (28%)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27 (61%)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 (1.8%)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N1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22 (22%)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9 (20%)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13 (23%)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N2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21 (21%)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4 (9.1%)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17 (30%)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N3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29 (29%)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4 (9.1%)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25 (45%)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pM, n (%)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0.230</w:t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M0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78 (78%)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37 (84%)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41 (73%)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M1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22 (22%)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7 (16%)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15 (27%)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Tamanho do tumor (mm), Média (Desvio Padrão)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43 (26)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33 (18)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50 (29)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0.003</w:t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Número de linfonodos, Média (Desvio Padrão)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6 (8)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 (3)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10 (9)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&lt;0.001</w:t>
            </w:r>
          </w:p>
        </w:tc>
      </w:tr>
      <w:tr>
        <w:trPr/>
        <w:tc>
          <w:tcPr>
            <w:tcW w:w="49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KI67, Média (Desvio Padrão)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19 (20)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17 (20)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20 (21)</w:t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0.233</w:t>
            </w:r>
          </w:p>
        </w:tc>
      </w:tr>
      <w:tr>
        <w:trPr/>
        <w:tc>
          <w:tcPr>
            <w:tcW w:w="974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>
                <w:lang w:val="pt-BR"/>
              </w:rPr>
            </w:pPr>
            <w:r>
              <w:rPr>
                <w:i/>
                <w:sz w:val="16"/>
                <w:szCs w:val="16"/>
                <w:vertAlign w:val="superscript"/>
                <w:lang w:val="pt-BR"/>
              </w:rPr>
              <w:t>1</w:t>
            </w:r>
            <w:r>
              <w:rPr>
                <w:sz w:val="16"/>
                <w:szCs w:val="16"/>
                <w:lang w:val="pt-BR"/>
              </w:rPr>
              <w:t>n (%); Média (Desvio Padrão)</w:t>
              <w:br/>
            </w:r>
            <w:r>
              <w:rPr>
                <w:i/>
                <w:sz w:val="16"/>
                <w:szCs w:val="16"/>
                <w:vertAlign w:val="superscript"/>
                <w:lang w:val="pt-BR"/>
              </w:rPr>
              <w:t>2</w:t>
            </w:r>
            <w:r>
              <w:rPr>
                <w:sz w:val="16"/>
                <w:szCs w:val="16"/>
                <w:lang w:val="pt-BR"/>
              </w:rPr>
              <w:t>Teste exato de Fisher; Teste de soma de postos de Wilcoxon</w:t>
            </w:r>
          </w:p>
        </w:tc>
      </w:tr>
    </w:tbl>
    <w:p>
      <w:pPr>
        <w:pStyle w:val="TextBody"/>
        <w:rPr>
          <w:lang w:val="pt-BR"/>
        </w:rPr>
      </w:pPr>
      <w:bookmarkStart w:id="12" w:name="resultados"/>
      <w:bookmarkStart w:id="13" w:name="análise-inferencial"/>
      <w:r>
        <w:rPr>
          <w:lang w:val="pt-BR"/>
        </w:rPr>
        <w:t>A distribuição do grau do tumor foi significativamente diferente entre os grupos  (p=0.039), assim como os estadiamentos pT (p=0.006) e pN (p&lt;0.001). O tamanho do tumor e o número de linfonodos parecem ser maiores no grupo IVL positivo (p=0.003 e p&lt;0.001, respectivamente). Nesta amostra não foi possível detectar diferença no CM=4 nem no KI67.</w:t>
      </w:r>
      <w:bookmarkEnd w:id="12"/>
      <w:bookmarkEnd w:id="13"/>
    </w:p>
    <w:p>
      <w:pPr>
        <w:pStyle w:val="Heading1"/>
        <w:rPr>
          <w:lang w:val="pt-BR"/>
        </w:rPr>
      </w:pPr>
      <w:bookmarkStart w:id="14" w:name="__RefHeading___Toc2773_107149855"/>
      <w:bookmarkEnd w:id="14"/>
      <w:r>
        <w:rPr>
          <w:lang w:val="pt-BR"/>
        </w:rPr>
        <w:t>Observações e limitações</w:t>
      </w:r>
    </w:p>
    <w:p>
      <w:pPr>
        <w:pStyle w:val="FirstParagraph"/>
        <w:rPr>
          <w:lang w:val="pt-BR"/>
        </w:rPr>
      </w:pPr>
      <w:r>
        <w:rPr>
          <w:b/>
          <w:bCs/>
          <w:lang w:val="pt-BR"/>
        </w:rPr>
        <w:t>Análise univariada</w:t>
      </w:r>
    </w:p>
    <w:p>
      <w:pPr>
        <w:pStyle w:val="TextBody"/>
        <w:rPr>
          <w:lang w:val="pt-BR"/>
        </w:rPr>
      </w:pPr>
      <w:r>
        <w:rPr>
          <w:lang w:val="pt-BR"/>
        </w:rPr>
        <w:t xml:space="preserve">As comparações entre grupos nesta análise não combinam a variabilidade </w:t>
      </w:r>
      <w:r>
        <w:rPr>
          <w:i/>
          <w:iCs/>
          <w:lang w:val="pt-BR"/>
        </w:rPr>
        <w:t>entre</w:t>
      </w:r>
      <w:r>
        <w:rPr>
          <w:lang w:val="pt-BR"/>
        </w:rPr>
        <w:t xml:space="preserve"> variáveis, estando portanto sujeita à viés e confundimento devido a relações entre as variáveis. Recomenda-se considerar o uso de análises multivariadas para controlar efeitos de correlação entrecovariáveis.</w:t>
      </w:r>
    </w:p>
    <w:p>
      <w:pPr>
        <w:pStyle w:val="TextBody"/>
        <w:rPr>
          <w:lang w:val="pt-BR"/>
        </w:rPr>
      </w:pPr>
      <w:r>
        <w:rPr>
          <w:b/>
          <w:bCs/>
          <w:lang w:val="pt-BR"/>
        </w:rPr>
        <w:t>Guideline recomendado de relato completo</w:t>
      </w:r>
    </w:p>
    <w:p>
      <w:pPr>
        <w:pStyle w:val="TextBody"/>
        <w:rPr/>
      </w:pPr>
      <w:r>
        <w:rPr>
          <w:lang w:val="pt-BR"/>
        </w:rPr>
        <w:t>A adoção dos guidelines de relato da rede EQUATOR (</w:t>
      </w:r>
      <w:hyperlink r:id="rId4">
        <w:r>
          <w:rPr>
            <w:rStyle w:val="InternetLink"/>
            <w:lang w:val="pt-BR"/>
          </w:rPr>
          <w:t>http://www.equator-network.org/</w:t>
        </w:r>
      </w:hyperlink>
      <w:r>
        <w:rPr>
          <w:lang w:val="pt-BR"/>
        </w:rPr>
        <w:t>) têm sido ampliada em revistas científicas. Recomenda-se que todos os estudos observacionais sigam o guideline STROBE (von Elm et al, 2014).</w:t>
      </w:r>
    </w:p>
    <w:p>
      <w:pPr>
        <w:pStyle w:val="TextBody"/>
        <w:rPr>
          <w:lang w:val="pt-BR"/>
        </w:rPr>
      </w:pPr>
      <w:bookmarkStart w:id="15" w:name="observações-e-limitações"/>
      <w:r>
        <w:rPr>
          <w:lang w:val="pt-BR"/>
        </w:rPr>
        <w:t>Em particular quando um estudo retrospectivo é conduzido usando registros hospitalares de rotina, incluindo informações de prontuários, é recomendado que a extensão RECORD do guideline STROBE seja considerado (Benchimol et al, 2015).</w:t>
      </w:r>
      <w:bookmarkEnd w:id="15"/>
    </w:p>
    <w:p>
      <w:pPr>
        <w:pStyle w:val="Heading1"/>
        <w:rPr>
          <w:lang w:val="pt-BR"/>
        </w:rPr>
      </w:pPr>
      <w:bookmarkStart w:id="16" w:name="__RefHeading___Toc2775_107149855"/>
      <w:bookmarkEnd w:id="16"/>
      <w:r>
        <w:rPr>
          <w:lang w:val="pt-BR"/>
        </w:rPr>
        <w:t>Conclusões</w:t>
      </w:r>
    </w:p>
    <w:p>
      <w:pPr>
        <w:pStyle w:val="FirstParagraph"/>
        <w:rPr>
          <w:lang w:val="pt-BR"/>
        </w:rPr>
      </w:pPr>
      <w:r>
        <w:rPr>
          <w:lang w:val="pt-BR"/>
        </w:rPr>
        <w:t>A DVL IT foi maior no grupo IVL positivo quando comparada ao grupo livre de IVL. A DVL PT e a mortalidade foram semelhantes nos grupos.</w:t>
      </w:r>
    </w:p>
    <w:p>
      <w:pPr>
        <w:pStyle w:val="TextBody"/>
        <w:rPr>
          <w:lang w:val="pt-BR"/>
        </w:rPr>
      </w:pPr>
      <w:r>
        <w:rPr>
          <w:lang w:val="pt-BR"/>
        </w:rPr>
        <w:t>Os estadiamentos patológicos pT e pN estão associados à IVL, mas não foi possível detectar diferença na ocorrência de metástase pM.</w:t>
      </w:r>
    </w:p>
    <w:p>
      <w:pPr>
        <w:pStyle w:val="TextBody"/>
        <w:rPr>
          <w:lang w:val="pt-BR"/>
        </w:rPr>
      </w:pPr>
      <w:bookmarkStart w:id="17" w:name="conclusões"/>
      <w:r>
        <w:rPr>
          <w:lang w:val="pt-BR"/>
        </w:rPr>
        <w:t>O número de linfonodos e o tamanho do tumor foram maiores no grupo IVL em relação ao grupo livre de IVL.</w:t>
      </w:r>
      <w:bookmarkEnd w:id="17"/>
    </w:p>
    <w:p>
      <w:pPr>
        <w:pStyle w:val="Heading1"/>
        <w:rPr>
          <w:lang w:val="pt-BR"/>
        </w:rPr>
      </w:pPr>
      <w:bookmarkStart w:id="18" w:name="__RefHeading___Toc2777_107149855"/>
      <w:bookmarkStart w:id="19" w:name="referências"/>
      <w:bookmarkEnd w:id="18"/>
      <w:r>
        <w:rPr>
          <w:lang w:val="pt-BR"/>
        </w:rPr>
        <w:t>Referências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r>
        <w:rPr>
          <w:b/>
          <w:bCs/>
          <w:lang w:val="pt-BR"/>
        </w:rPr>
        <w:t>SAP-2023-007-TG-v01</w:t>
      </w:r>
      <w:r>
        <w:rPr>
          <w:lang w:val="pt-BR"/>
        </w:rPr>
        <w:t xml:space="preserve"> – Plano Analítico para Associação entre invasão vascular linfática na densidade vascular linfática e mortalidade em pacientes com câncer de mama: estudo transversal</w:t>
      </w:r>
      <w:bookmarkEnd w:id="19"/>
    </w:p>
    <w:p>
      <w:pPr>
        <w:pStyle w:val="Compact"/>
        <w:numPr>
          <w:ilvl w:val="0"/>
          <w:numId w:val="2"/>
        </w:numPr>
        <w:rPr/>
      </w:pPr>
      <w:r>
        <w:rPr>
          <w:lang w:val="pt-BR"/>
        </w:rPr>
        <w:t>von Elm E, Altman DG, Egger M, Pocock SJ, Gøtzsche PC, Vandenbroucke JP; STROBE Initiative. The Strengthening the Reporting of Observational Studies in Epidemiology (STROBE) Statement: guidelines for reporting observational studies. Int J Surg. 2014 Dec;12(12):1495-9 (</w:t>
      </w:r>
      <w:hyperlink r:id="rId5">
        <w:r>
          <w:rPr>
            <w:rStyle w:val="InternetLink"/>
            <w:lang w:val="pt-BR"/>
          </w:rPr>
          <w:t>https://doi.org/10.1016/j.ijsu.2014.07.013</w:t>
        </w:r>
      </w:hyperlink>
      <w:r>
        <w:rPr>
          <w:lang w:val="pt-BR"/>
        </w:rPr>
        <w:t>).</w:t>
      </w:r>
    </w:p>
    <w:p>
      <w:pPr>
        <w:pStyle w:val="Compact"/>
        <w:numPr>
          <w:ilvl w:val="0"/>
          <w:numId w:val="2"/>
        </w:numPr>
        <w:rPr/>
      </w:pPr>
      <w:r>
        <w:rPr>
          <w:lang w:val="pt-BR"/>
        </w:rPr>
        <w:t>Benchimol EI, Smeeth L, Guttmann A, Harron K, Moher D, Petersen I, Sørensen HT, von Elm E, Langan SM; RECORD Working Committee. The REporting of studies Conducted using Observational Routinely-collected health Data (RECORD) statement. PLoS Med. 2015 Oct 6;12(10):e1001885 (</w:t>
      </w:r>
      <w:hyperlink r:id="rId6">
        <w:r>
          <w:rPr>
            <w:rStyle w:val="InternetLink"/>
            <w:lang w:val="pt-BR"/>
          </w:rPr>
          <w:t>https://doi.org/10.1371/journal.pmed.1001885</w:t>
        </w:r>
      </w:hyperlink>
      <w:r>
        <w:rPr>
          <w:lang w:val="pt-BR"/>
        </w:rPr>
        <w:t>).</w:t>
      </w:r>
    </w:p>
    <w:p>
      <w:pPr>
        <w:pStyle w:val="Heading1"/>
        <w:keepLines/>
        <w:widowControl/>
        <w:numPr>
          <w:ilvl w:val="0"/>
          <w:numId w:val="0"/>
        </w:numPr>
        <w:suppressAutoHyphens w:val="true"/>
        <w:ind w:left="0" w:hanging="0"/>
        <w:jc w:val="left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Heading1"/>
        <w:rPr>
          <w:lang w:val="pt-BR"/>
        </w:rPr>
      </w:pPr>
      <w:bookmarkStart w:id="20" w:name="__RefHeading___Toc2779_107149855"/>
      <w:bookmarkEnd w:id="20"/>
      <w:r>
        <w:rPr>
          <w:lang w:val="pt-BR"/>
        </w:rPr>
        <w:t>Apêndice</w:t>
      </w:r>
    </w:p>
    <w:p>
      <w:pPr>
        <w:pStyle w:val="Heading2"/>
        <w:rPr>
          <w:lang w:val="pt-BR"/>
        </w:rPr>
      </w:pPr>
      <w:bookmarkStart w:id="21" w:name="__RefHeading___Toc2781_107149855"/>
      <w:bookmarkEnd w:id="21"/>
      <w:r>
        <w:rPr>
          <w:lang w:val="pt-BR"/>
        </w:rPr>
        <w:t>Análise exploratória de dados</w:t>
      </w:r>
    </w:p>
    <w:p>
      <w:pPr>
        <w:pStyle w:val="FirstParagraph"/>
        <w:rPr>
          <w:lang w:val="pt-BR"/>
        </w:rPr>
      </w:pPr>
      <w:bookmarkStart w:id="22" w:name="análise-exploratória-de-dados"/>
      <w:r>
        <w:rPr>
          <w:lang w:val="pt-BR"/>
        </w:rPr>
        <w:t>N/A</w:t>
      </w:r>
      <w:bookmarkEnd w:id="22"/>
    </w:p>
    <w:p>
      <w:pPr>
        <w:pStyle w:val="Heading2"/>
        <w:rPr>
          <w:lang w:val="pt-BR"/>
        </w:rPr>
      </w:pPr>
      <w:bookmarkStart w:id="23" w:name="__RefHeading___Toc2783_107149855"/>
      <w:bookmarkEnd w:id="23"/>
      <w:r>
        <w:rPr>
          <w:lang w:val="pt-BR"/>
        </w:rPr>
        <w:t>Disponibilidade</w:t>
      </w:r>
    </w:p>
    <w:p>
      <w:pPr>
        <w:pStyle w:val="FirstParagraph"/>
        <w:rPr>
          <w:lang w:val="pt-BR"/>
        </w:rPr>
      </w:pPr>
      <w:r>
        <w:rPr>
          <w:lang w:val="pt-BR"/>
        </w:rPr>
        <w:t>Todos os documentos gerados nessa consultoria foram incluídos no portfólio do consultor.</w:t>
      </w:r>
    </w:p>
    <w:p>
      <w:pPr>
        <w:pStyle w:val="TextBody"/>
        <w:rPr>
          <w:lang w:val="pt-BR"/>
        </w:rPr>
      </w:pPr>
      <w:r>
        <w:rPr>
          <w:lang w:val="pt-BR"/>
        </w:rPr>
        <w:t>O portfólio pode ser visto em:</w:t>
      </w:r>
    </w:p>
    <w:p>
      <w:pPr>
        <w:pStyle w:val="TextBody"/>
        <w:rPr/>
      </w:pPr>
      <w:hyperlink r:id="rId7">
        <w:bookmarkStart w:id="24" w:name="disponibilidade"/>
        <w:r>
          <w:rPr>
            <w:rStyle w:val="InternetLink"/>
            <w:lang w:val="pt-BR"/>
          </w:rPr>
          <w:t>https://philsf-biostat.github.io/SAR-2023-007-TG/</w:t>
        </w:r>
      </w:hyperlink>
      <w:bookmarkEnd w:id="24"/>
    </w:p>
    <w:p>
      <w:pPr>
        <w:pStyle w:val="Heading2"/>
        <w:rPr>
          <w:lang w:val="pt-BR"/>
        </w:rPr>
      </w:pPr>
      <w:bookmarkStart w:id="25" w:name="__RefHeading___Toc2785_107149855"/>
      <w:bookmarkEnd w:id="25"/>
      <w:r>
        <w:rPr>
          <w:lang w:val="pt-BR"/>
        </w:rPr>
        <w:t>Dados utilizados</w:t>
      </w:r>
    </w:p>
    <w:p>
      <w:pPr>
        <w:pStyle w:val="FirstParagraph"/>
        <w:rPr>
          <w:lang w:val="pt-BR"/>
        </w:rPr>
      </w:pPr>
      <w:r>
        <w:rPr>
          <w:lang w:val="pt-BR"/>
        </w:rPr>
        <w:t>A tabela A1 mostra a estrutura da tabela de dados analíticos.</w:t>
      </w:r>
    </w:p>
    <w:p>
      <w:pPr>
        <w:pStyle w:val="TableCaption"/>
        <w:rPr>
          <w:lang w:val="pt-BR"/>
        </w:rPr>
      </w:pPr>
      <w:r>
        <w:rPr>
          <w:b/>
          <w:bCs/>
          <w:lang w:val="pt-BR"/>
        </w:rPr>
        <w:t>Tabela A1</w:t>
      </w:r>
      <w:r>
        <w:rPr>
          <w:lang w:val="pt-BR"/>
        </w:rPr>
        <w:t xml:space="preserve"> Estrutura da tabela de dados analíticos</w:t>
      </w:r>
    </w:p>
    <w:tbl>
      <w:tblPr>
        <w:tblStyle w:val="Table"/>
        <w:tblW w:w="5000" w:type="pct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581"/>
        <w:gridCol w:w="1161"/>
        <w:gridCol w:w="811"/>
        <w:gridCol w:w="931"/>
        <w:gridCol w:w="929"/>
        <w:gridCol w:w="696"/>
        <w:gridCol w:w="464"/>
        <w:gridCol w:w="580"/>
        <w:gridCol w:w="581"/>
        <w:gridCol w:w="584"/>
        <w:gridCol w:w="461"/>
        <w:gridCol w:w="1163"/>
        <w:gridCol w:w="695"/>
      </w:tblGrid>
      <w:tr>
        <w:trPr/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id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exposure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obito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dvl_it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dvl_pt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grau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cm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p_t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p_n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p_m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tu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num_linf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ki67</w:t>
            </w:r>
          </w:p>
        </w:tc>
      </w:tr>
      <w:tr>
        <w:trPr/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1</w:t>
            </w:r>
          </w:p>
        </w:tc>
        <w:tc>
          <w:tcPr>
            <w:tcW w:w="1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1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</w:tr>
      <w:tr>
        <w:trPr/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2</w:t>
            </w:r>
          </w:p>
        </w:tc>
        <w:tc>
          <w:tcPr>
            <w:tcW w:w="1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1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</w:tr>
      <w:tr>
        <w:trPr/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3</w:t>
            </w:r>
          </w:p>
        </w:tc>
        <w:tc>
          <w:tcPr>
            <w:tcW w:w="1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1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</w:tr>
      <w:tr>
        <w:trPr/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…</w:t>
            </w:r>
          </w:p>
        </w:tc>
        <w:tc>
          <w:tcPr>
            <w:tcW w:w="1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1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</w:tr>
      <w:tr>
        <w:trPr/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  <w:t>N</w:t>
            </w:r>
          </w:p>
        </w:tc>
        <w:tc>
          <w:tcPr>
            <w:tcW w:w="1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11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/>
              </w:rPr>
            </w:r>
          </w:p>
        </w:tc>
      </w:tr>
    </w:tbl>
    <w:p>
      <w:pPr>
        <w:pStyle w:val="TextBody"/>
        <w:spacing w:before="180" w:after="180"/>
        <w:rPr>
          <w:lang w:val="pt-BR"/>
        </w:rPr>
      </w:pPr>
      <w:bookmarkStart w:id="26" w:name="apêndice"/>
      <w:bookmarkStart w:id="27" w:name="dados-utilizados"/>
      <w:r>
        <w:rPr>
          <w:lang w:val="pt-BR"/>
        </w:rPr>
        <w:t>Os dados utilizados neste relatório não podem ser publicados online por questões de sigilo.</w:t>
      </w:r>
      <w:bookmarkEnd w:id="26"/>
      <w:bookmarkEnd w:id="27"/>
    </w:p>
    <w:sectPr>
      <w:headerReference w:type="default" r:id="rId8"/>
      <w:footerReference w:type="default" r:id="rId9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6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3"/>
      <w:gridCol w:w="636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6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2023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5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0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0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0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equator-network.org/" TargetMode="External"/><Relationship Id="rId5" Type="http://schemas.openxmlformats.org/officeDocument/2006/relationships/hyperlink" Target="https://doi.org/10.1016/j.ijsu.2014.07.013" TargetMode="External"/><Relationship Id="rId6" Type="http://schemas.openxmlformats.org/officeDocument/2006/relationships/hyperlink" Target="https://doi.org/10.1371/journal.pmed.1001885" TargetMode="External"/><Relationship Id="rId7" Type="http://schemas.openxmlformats.org/officeDocument/2006/relationships/hyperlink" Target="https://philsf-biostat.github.io/SAR-2023-007-TG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LibreOffice/7.5.0.3$Linux_X86_64 LibreOffice_project/50$Build-3</Application>
  <AppVersion>15.0000</AppVersion>
  <Pages>10</Pages>
  <Words>1463</Words>
  <Characters>7477</Characters>
  <CharactersWithSpaces>8690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2023-02-07T07:42:54Z</dcterms:created>
  <dc:creator>De: Felipe Figueiredo Para: Teresa Gutman</dc:creator>
  <dc:description/>
  <dc:language>pt-BR</dc:language>
  <cp:lastModifiedBy/>
  <dcterms:modified xsi:type="dcterms:W3CDTF">2023-02-07T04:54:00Z</dcterms:modified>
  <cp:revision>7</cp:revision>
  <dc:subject/>
  <dc:title>Associação entre invasão vascular linfática na densidade vascular linfática e mortalidade em pacientes com câncer de mama: estudo transversal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2023-02-06</vt:lpwstr>
  </property>
  <property fmtid="{D5CDD505-2E9C-101B-9397-08002B2CF9AE}" pid="3" name="output">
    <vt:lpwstr/>
  </property>
  <property fmtid="{D5CDD505-2E9C-101B-9397-08002B2CF9AE}" pid="4" name="subtitle">
    <vt:lpwstr>DOCUMENTO: SAR-2023-007-TG-v01</vt:lpwstr>
  </property>
  <property fmtid="{D5CDD505-2E9C-101B-9397-08002B2CF9AE}" pid="5" name="toc-title">
    <vt:lpwstr>Sumário</vt:lpwstr>
  </property>
</Properties>
</file>