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Efficacy of pre-hydrated collagenated xenogenic bone mix in periodontal intrabony defects: clinical trial</w:t>
      </w:r>
    </w:p>
    <w:p>
      <w:pPr>
        <w:pStyle w:val="Subtitle"/>
        <w:rPr/>
      </w:pPr>
      <w:r>
        <w:rPr/>
        <w:t>DOCUMENT: SAP-2023-010-TK-v01</w:t>
      </w:r>
    </w:p>
    <w:p>
      <w:pPr>
        <w:pStyle w:val="Author"/>
        <w:rPr/>
      </w:pPr>
      <w:r>
        <w:rPr>
          <w:b/>
          <w:bCs/>
        </w:rPr>
        <w:t>From:</w:t>
      </w:r>
      <w:r>
        <w:rPr/>
        <w:t xml:space="preserve"> Felipe Figueiredo </w:t>
      </w:r>
      <w:r>
        <w:rPr>
          <w:b/>
          <w:bCs/>
        </w:rPr>
        <w:t>To:</w:t>
      </w:r>
      <w:r>
        <w:rPr/>
        <w:t xml:space="preserve"> Tom Kobe</w:t>
      </w:r>
    </w:p>
    <w:p>
      <w:pPr>
        <w:pStyle w:val="Date"/>
        <w:rPr/>
      </w:pPr>
      <w:r>
        <w:rPr/>
        <w:t>2023-03-01</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045_4124424346">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1047_4124424346">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1049_4124424346">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1051_4124424346">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1053_4124424346">
            <w:r>
              <w:rPr>
                <w:webHidden/>
                <w:rStyle w:val="IndexLink"/>
              </w:rPr>
              <w:t xml:space="preserve"> </w:t>
            </w:r>
            <w:r>
              <w:rPr>
                <w:rStyle w:val="IndexLink"/>
              </w:rPr>
              <w:t>3  Data</w:t>
              <w:tab/>
              <w:t>3</w:t>
            </w:r>
          </w:hyperlink>
        </w:p>
        <w:p>
          <w:pPr>
            <w:pStyle w:val="Contents2"/>
            <w:tabs>
              <w:tab w:val="clear" w:pos="9077"/>
              <w:tab w:val="right" w:pos="9638" w:leader="dot"/>
            </w:tabs>
            <w:rPr/>
          </w:pPr>
          <w:hyperlink w:anchor="__RefHeading___Toc1055_4124424346">
            <w:r>
              <w:rPr>
                <w:webHidden/>
                <w:rStyle w:val="IndexLink"/>
              </w:rPr>
              <w:t xml:space="preserve"> </w:t>
            </w:r>
            <w:r>
              <w:rPr>
                <w:rStyle w:val="IndexLink"/>
              </w:rPr>
              <w:t>3.1  Raw data</w:t>
              <w:tab/>
              <w:t>3</w:t>
            </w:r>
          </w:hyperlink>
        </w:p>
        <w:p>
          <w:pPr>
            <w:pStyle w:val="Contents2"/>
            <w:tabs>
              <w:tab w:val="clear" w:pos="9077"/>
              <w:tab w:val="right" w:pos="9638" w:leader="dot"/>
            </w:tabs>
            <w:rPr/>
          </w:pPr>
          <w:hyperlink w:anchor="__RefHeading___Toc1057_4124424346">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1059_4124424346">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1061_4124424346">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1063_4124424346">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1065_4124424346">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1067_4124424346">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1069_4124424346">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1071_4124424346">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1073_4124424346">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1075_4124424346">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1077_4124424346">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1079_4124424346">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1081_4124424346">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1083_4124424346">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1085_4124424346">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1087_4124424346">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1089_4124424346">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1091_4124424346">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1093_4124424346">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1095_4124424346">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Efficacy of pre-hydrated collagenated xenogenic bone mix in periodontal intrabony defects: clinical trial</w:t>
      </w:r>
    </w:p>
    <w:p>
      <w:pPr>
        <w:pStyle w:val="TextBody"/>
        <w:rPr/>
      </w:pPr>
      <w:r>
        <w:rPr>
          <w:b/>
          <w:bCs/>
        </w:rPr>
        <w:t>Document version</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val="false"/>
              <w:jc w:val="left"/>
              <w:rPr/>
            </w:pPr>
            <w:r>
              <w:rPr/>
              <w:t>Version</w:t>
            </w:r>
          </w:p>
        </w:tc>
        <w:tc>
          <w:tcPr>
            <w:tcW w:w="3959" w:type="dxa"/>
            <w:tcBorders>
              <w:bottom w:val="single" w:sz="6" w:space="0" w:color="000000"/>
            </w:tcBorders>
            <w:vAlign w:val="bottom"/>
          </w:tcPr>
          <w:p>
            <w:pPr>
              <w:pStyle w:val="Compact"/>
              <w:widowControl w:val="false"/>
              <w:jc w:val="left"/>
              <w:rPr/>
            </w:pPr>
            <w:r>
              <w:rPr/>
              <w:t>Alterations</w:t>
            </w:r>
          </w:p>
        </w:tc>
      </w:tr>
      <w:tr>
        <w:trPr/>
        <w:tc>
          <w:tcPr>
            <w:tcW w:w="3960" w:type="dxa"/>
            <w:tcBorders/>
          </w:tcPr>
          <w:p>
            <w:pPr>
              <w:pStyle w:val="Compact"/>
              <w:widowControl w:val="false"/>
              <w:jc w:val="left"/>
              <w:rPr/>
            </w:pPr>
            <w:r>
              <w:rPr/>
              <w:t>01</w:t>
            </w:r>
          </w:p>
        </w:tc>
        <w:tc>
          <w:tcPr>
            <w:tcW w:w="3959" w:type="dxa"/>
            <w:tcBorders/>
          </w:tcPr>
          <w:p>
            <w:pPr>
              <w:pStyle w:val="Compact"/>
              <w:widowControl w:val="false"/>
              <w:jc w:val="left"/>
              <w:rPr/>
            </w:pPr>
            <w:r>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045_4124424346"/>
      <w:bookmarkEnd w:id="0"/>
      <w:r>
        <w:rPr/>
        <w:t>Abbreviations</w:t>
      </w:r>
    </w:p>
    <w:p>
      <w:pPr>
        <w:pStyle w:val="Compact"/>
        <w:numPr>
          <w:ilvl w:val="0"/>
          <w:numId w:val="2"/>
        </w:numPr>
        <w:rPr/>
      </w:pPr>
      <w:r>
        <w:rPr/>
        <w:t>CAL: clinical attachment level</w:t>
      </w:r>
    </w:p>
    <w:p>
      <w:pPr>
        <w:pStyle w:val="Compact"/>
        <w:numPr>
          <w:ilvl w:val="0"/>
          <w:numId w:val="2"/>
        </w:numPr>
        <w:rPr/>
      </w:pPr>
      <w:r>
        <w:rPr/>
        <w:t xml:space="preserve">CI: confidence interval </w:t>
      </w:r>
    </w:p>
    <w:p>
      <w:pPr>
        <w:pStyle w:val="Compact"/>
        <w:numPr>
          <w:ilvl w:val="0"/>
          <w:numId w:val="2"/>
        </w:numPr>
        <w:rPr/>
      </w:pPr>
      <w:r>
        <w:rPr/>
        <w:t xml:space="preserve">d: Cohen’s D effect size     </w:t>
      </w:r>
    </w:p>
    <w:p>
      <w:pPr>
        <w:pStyle w:val="Compact"/>
        <w:numPr>
          <w:ilvl w:val="0"/>
          <w:numId w:val="2"/>
        </w:numPr>
        <w:rPr/>
      </w:pPr>
      <w:r>
        <w:rPr/>
        <w:t>PD: probing depth</w:t>
      </w:r>
    </w:p>
    <w:p>
      <w:pPr>
        <w:pStyle w:val="Compact"/>
        <w:numPr>
          <w:ilvl w:val="0"/>
          <w:numId w:val="2"/>
        </w:numPr>
        <w:rPr/>
      </w:pPr>
      <w:r>
        <w:rPr/>
        <w:t>REC: gingival recession</w:t>
      </w:r>
    </w:p>
    <w:p>
      <w:pPr>
        <w:pStyle w:val="Compact"/>
        <w:numPr>
          <w:ilvl w:val="0"/>
          <w:numId w:val="2"/>
        </w:numPr>
        <w:rPr/>
      </w:pPr>
      <w:r>
        <w:rPr/>
        <w:t>TP: tip of the papillae</w:t>
      </w:r>
    </w:p>
    <w:p>
      <w:pPr>
        <w:pStyle w:val="Compact"/>
        <w:numPr>
          <w:ilvl w:val="0"/>
          <w:numId w:val="2"/>
        </w:numPr>
        <w:rPr/>
      </w:pPr>
      <w:bookmarkStart w:id="1" w:name="abbreviations"/>
      <w:r>
        <w:rPr/>
        <w:t>SD: standard deviation</w:t>
      </w:r>
      <w:bookmarkEnd w:id="1"/>
    </w:p>
    <w:p>
      <w:pPr>
        <w:pStyle w:val="Heading1"/>
        <w:rPr/>
      </w:pPr>
      <w:bookmarkStart w:id="2" w:name="__RefHeading___Toc1047_4124424346"/>
      <w:bookmarkEnd w:id="2"/>
      <w:r>
        <w:rPr/>
        <w:t>Context</w:t>
      </w:r>
    </w:p>
    <w:p>
      <w:pPr>
        <w:pStyle w:val="Heading2"/>
        <w:rPr/>
      </w:pPr>
      <w:bookmarkStart w:id="3" w:name="__RefHeading___Toc1049_4124424346"/>
      <w:bookmarkEnd w:id="3"/>
      <w:r>
        <w:rPr/>
        <w:t>Objectives</w:t>
      </w:r>
    </w:p>
    <w:p>
      <w:pPr>
        <w:pStyle w:val="FirstParagraph"/>
        <w:rPr/>
      </w:pPr>
      <w:bookmarkStart w:id="4" w:name="objectives"/>
      <w:r>
        <w:rPr/>
        <w:t>To evaluate the efficacy of using pre-hydrated collagenated xenogenic bone mix in periodontal intrabony defects.</w:t>
      </w:r>
      <w:bookmarkEnd w:id="4"/>
    </w:p>
    <w:p>
      <w:pPr>
        <w:pStyle w:val="Heading2"/>
        <w:rPr/>
      </w:pPr>
      <w:bookmarkStart w:id="5" w:name="__RefHeading___Toc1051_4124424346"/>
      <w:bookmarkEnd w:id="5"/>
      <w:r>
        <w:rPr/>
        <w:t>Hypotheses</w:t>
      </w:r>
    </w:p>
    <w:p>
      <w:pPr>
        <w:pStyle w:val="Compact"/>
        <w:numPr>
          <w:ilvl w:val="0"/>
          <w:numId w:val="16"/>
        </w:numPr>
        <w:rPr/>
      </w:pPr>
      <w:r>
        <w:rPr/>
        <w:t>The CAL change from baseline is different in both biomaterials;</w:t>
      </w:r>
    </w:p>
    <w:p>
      <w:pPr>
        <w:pStyle w:val="Compact"/>
        <w:numPr>
          <w:ilvl w:val="0"/>
          <w:numId w:val="17"/>
        </w:numPr>
        <w:rPr/>
      </w:pPr>
      <w:r>
        <w:rPr/>
        <w:t>The PD change from baseline is different in both biomaterials;</w:t>
      </w:r>
    </w:p>
    <w:p>
      <w:pPr>
        <w:pStyle w:val="Compact"/>
        <w:numPr>
          <w:ilvl w:val="0"/>
          <w:numId w:val="18"/>
        </w:numPr>
        <w:rPr/>
      </w:pPr>
      <w:r>
        <w:rPr/>
        <w:t>The REC change from baseline is different in both biomaterials;</w:t>
      </w:r>
    </w:p>
    <w:p>
      <w:pPr>
        <w:pStyle w:val="Compact"/>
        <w:numPr>
          <w:ilvl w:val="0"/>
          <w:numId w:val="19"/>
        </w:numPr>
        <w:rPr/>
      </w:pPr>
      <w:bookmarkStart w:id="6" w:name="hypotheses"/>
      <w:bookmarkStart w:id="7" w:name="context"/>
      <w:r>
        <w:rPr/>
        <w:t>The TP change from baseline is different in both biomaterials.</w:t>
      </w:r>
      <w:bookmarkEnd w:id="6"/>
      <w:bookmarkEnd w:id="7"/>
    </w:p>
    <w:p>
      <w:pPr>
        <w:pStyle w:val="Heading1"/>
        <w:keepLines/>
        <w:widowControl/>
        <w:numPr>
          <w:ilvl w:val="0"/>
          <w:numId w:val="0"/>
        </w:numPr>
        <w:suppressAutoHyphens w:val="true"/>
        <w:ind w:left="0" w:hanging="0"/>
        <w:jc w:val="left"/>
        <w:rPr/>
      </w:pPr>
      <w:r>
        <w:rPr/>
      </w:r>
      <w:r>
        <w:br w:type="page"/>
      </w:r>
    </w:p>
    <w:p>
      <w:pPr>
        <w:pStyle w:val="Heading1"/>
        <w:rPr/>
      </w:pPr>
      <w:bookmarkStart w:id="8" w:name="__RefHeading___Toc1053_4124424346"/>
      <w:bookmarkEnd w:id="8"/>
      <w:r>
        <w:rPr/>
        <w:t>Data</w:t>
      </w:r>
    </w:p>
    <w:p>
      <w:pPr>
        <w:pStyle w:val="Heading2"/>
        <w:rPr/>
      </w:pPr>
      <w:bookmarkStart w:id="9" w:name="__RefHeading___Toc1055_4124424346"/>
      <w:bookmarkEnd w:id="9"/>
      <w:r>
        <w:rPr/>
        <w:t>Raw data</w:t>
      </w:r>
    </w:p>
    <w:p>
      <w:pPr>
        <w:pStyle w:val="FirstParagraph"/>
        <w:rPr/>
      </w:pPr>
      <w:bookmarkStart w:id="10" w:name="raw-data"/>
      <w:r>
        <w:rPr/>
        <w:t>The original data base had 45 variables collected on 20 observations.</w:t>
      </w:r>
      <w:bookmarkEnd w:id="10"/>
    </w:p>
    <w:p>
      <w:pPr>
        <w:pStyle w:val="Heading2"/>
        <w:rPr/>
      </w:pPr>
      <w:bookmarkStart w:id="11" w:name="__RefHeading___Toc1057_4124424346"/>
      <w:bookmarkEnd w:id="11"/>
      <w:r>
        <w:rPr/>
        <w:t>Analytical dataset</w:t>
      </w:r>
    </w:p>
    <w:p>
      <w:pPr>
        <w:pStyle w:val="FirstParagraph"/>
        <w:rPr/>
      </w:pPr>
      <w:r>
        <w:rPr/>
        <w:t>CAL will be calculated as the sum of REC and DP. All outcomes will be calculated as the difference between the end-of-study measurements and baseline measurements.</w:t>
      </w:r>
    </w:p>
    <w:p>
      <w:pPr>
        <w:pStyle w:val="TextBody"/>
        <w:rPr/>
      </w:pPr>
      <w:r>
        <w:rPr/>
        <w:t>After the cleaning process 17 variables were included in the analysis with 20 observations.    The total number of observations excluded due to incompleteness and exclusion criteria will be reported in the analysis.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63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73"/>
        <w:gridCol w:w="990"/>
        <w:gridCol w:w="785"/>
        <w:gridCol w:w="476"/>
        <w:gridCol w:w="682"/>
        <w:gridCol w:w="475"/>
        <w:gridCol w:w="476"/>
        <w:gridCol w:w="476"/>
        <w:gridCol w:w="476"/>
        <w:gridCol w:w="579"/>
        <w:gridCol w:w="580"/>
        <w:gridCol w:w="579"/>
        <w:gridCol w:w="578"/>
        <w:gridCol w:w="888"/>
        <w:gridCol w:w="374"/>
        <w:gridCol w:w="373"/>
        <w:gridCol w:w="477"/>
      </w:tblGrid>
      <w:tr>
        <w:trPr/>
        <w:tc>
          <w:tcPr>
            <w:tcW w:w="3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id</w:t>
            </w:r>
          </w:p>
        </w:tc>
        <w:tc>
          <w:tcPr>
            <w:tcW w:w="99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exposure</w:t>
            </w:r>
          </w:p>
        </w:tc>
        <w:tc>
          <w:tcPr>
            <w:tcW w:w="78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gender</w:t>
            </w:r>
          </w:p>
        </w:tc>
        <w:tc>
          <w:tcPr>
            <w:tcW w:w="4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age</w:t>
            </w:r>
          </w:p>
        </w:tc>
        <w:tc>
          <w:tcPr>
            <w:tcW w:w="68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tooth</w:t>
            </w:r>
          </w:p>
        </w:tc>
        <w:tc>
          <w:tcPr>
            <w:tcW w:w="4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pd0</w:t>
            </w:r>
          </w:p>
        </w:tc>
        <w:tc>
          <w:tcPr>
            <w:tcW w:w="4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pd2</w:t>
            </w:r>
          </w:p>
        </w:tc>
        <w:tc>
          <w:tcPr>
            <w:tcW w:w="4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tp0</w:t>
            </w:r>
          </w:p>
        </w:tc>
        <w:tc>
          <w:tcPr>
            <w:tcW w:w="4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tp2</w:t>
            </w:r>
          </w:p>
        </w:tc>
        <w:tc>
          <w:tcPr>
            <w:tcW w:w="5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rec0</w:t>
            </w:r>
          </w:p>
        </w:tc>
        <w:tc>
          <w:tcPr>
            <w:tcW w:w="58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rec2</w:t>
            </w:r>
          </w:p>
        </w:tc>
        <w:tc>
          <w:tcPr>
            <w:tcW w:w="5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cal0</w:t>
            </w:r>
          </w:p>
        </w:tc>
        <w:tc>
          <w:tcPr>
            <w:tcW w:w="57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cal2</w:t>
            </w:r>
          </w:p>
        </w:tc>
        <w:tc>
          <w:tcPr>
            <w:tcW w:w="8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outcome</w:t>
            </w:r>
          </w:p>
        </w:tc>
        <w:tc>
          <w:tcPr>
            <w:tcW w:w="37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pd</w:t>
            </w:r>
          </w:p>
        </w:tc>
        <w:tc>
          <w:tcPr>
            <w:tcW w:w="3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tp</w:t>
            </w:r>
          </w:p>
        </w:tc>
        <w:tc>
          <w:tcPr>
            <w:tcW w:w="47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rec</w:t>
            </w:r>
          </w:p>
        </w:tc>
      </w:tr>
      <w:tr>
        <w:trPr/>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99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8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8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99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8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8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99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8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8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99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8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8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N</w:t>
            </w:r>
          </w:p>
        </w:tc>
        <w:tc>
          <w:tcPr>
            <w:tcW w:w="99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8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68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8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57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8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37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47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bl>
    <w:p>
      <w:pPr>
        <w:pStyle w:val="TextBody"/>
        <w:rPr/>
      </w:pPr>
      <w:bookmarkStart w:id="12" w:name="analytical-dataset"/>
      <w:bookmarkStart w:id="13" w:name="data"/>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1059_4124424346"/>
      <w:bookmarkEnd w:id="14"/>
      <w:r>
        <w:rPr/>
        <w:t>Study parameters</w:t>
      </w:r>
    </w:p>
    <w:p>
      <w:pPr>
        <w:pStyle w:val="Heading2"/>
        <w:rPr/>
      </w:pPr>
      <w:bookmarkStart w:id="15" w:name="__RefHeading___Toc1061_4124424346"/>
      <w:bookmarkEnd w:id="15"/>
      <w:r>
        <w:rPr/>
        <w:t>Study design</w:t>
      </w:r>
    </w:p>
    <w:p>
      <w:pPr>
        <w:pStyle w:val="FirstParagraph"/>
        <w:rPr/>
      </w:pPr>
      <w:bookmarkStart w:id="16" w:name="study-design"/>
      <w:r>
        <w:rPr/>
        <w:t>Randomized controlled clinical trial.</w:t>
      </w:r>
      <w:bookmarkEnd w:id="16"/>
    </w:p>
    <w:p>
      <w:pPr>
        <w:pStyle w:val="Heading2"/>
        <w:rPr/>
      </w:pPr>
      <w:bookmarkStart w:id="17" w:name="__RefHeading___Toc1063_4124424346"/>
      <w:bookmarkEnd w:id="17"/>
      <w:r>
        <w:rPr/>
        <w:t>Inclusion and exclusion criteria</w:t>
      </w:r>
    </w:p>
    <w:p>
      <w:pPr>
        <w:pStyle w:val="FirstParagraph"/>
        <w:rPr/>
      </w:pPr>
      <w:bookmarkStart w:id="18" w:name="inclusion-and-exclusion-criteria"/>
      <w:r>
        <w:rPr/>
        <w:t>N/A</w:t>
      </w:r>
      <w:bookmarkEnd w:id="18"/>
    </w:p>
    <w:p>
      <w:pPr>
        <w:pStyle w:val="Heading2"/>
        <w:rPr/>
      </w:pPr>
      <w:bookmarkStart w:id="19" w:name="__RefHeading___Toc1065_4124424346"/>
      <w:bookmarkEnd w:id="19"/>
      <w:r>
        <w:rPr/>
        <w:t>Exposures</w:t>
      </w:r>
    </w:p>
    <w:p>
      <w:pPr>
        <w:pStyle w:val="FirstParagraph"/>
        <w:rPr/>
      </w:pPr>
      <w:bookmarkStart w:id="20" w:name="exposures"/>
      <w:r>
        <w:rPr/>
        <w:t>Efficacy of usage of pre-hydrated collagenated xenogenic bone mix (Gel40) will be tested against the gold standard bone graft (Gen-Os).</w:t>
      </w:r>
      <w:bookmarkEnd w:id="20"/>
    </w:p>
    <w:p>
      <w:pPr>
        <w:pStyle w:val="Heading2"/>
        <w:rPr/>
      </w:pPr>
      <w:bookmarkStart w:id="21" w:name="__RefHeading___Toc1067_4124424346"/>
      <w:bookmarkEnd w:id="21"/>
      <w:r>
        <w:rPr/>
        <w:t>Outcomes</w:t>
      </w:r>
    </w:p>
    <w:p>
      <w:pPr>
        <w:pStyle w:val="FirstParagraph"/>
        <w:rPr/>
      </w:pPr>
      <w:r>
        <w:rPr>
          <w:b/>
          <w:bCs/>
        </w:rPr>
        <w:t>Specification of outcome measures</w:t>
      </w:r>
      <w:r>
        <w:rPr/>
        <w:t xml:space="preserve"> (Zarin, 2011):</w:t>
      </w:r>
    </w:p>
    <w:p>
      <w:pPr>
        <w:pStyle w:val="Compact"/>
        <w:numPr>
          <w:ilvl w:val="0"/>
          <w:numId w:val="20"/>
        </w:numPr>
        <w:rPr/>
      </w:pPr>
      <w:r>
        <w:rPr/>
        <w:t>(Domain) Periodontal intrabony defects</w:t>
      </w:r>
    </w:p>
    <w:p>
      <w:pPr>
        <w:pStyle w:val="Compact"/>
        <w:numPr>
          <w:ilvl w:val="0"/>
          <w:numId w:val="21"/>
        </w:numPr>
        <w:rPr/>
      </w:pPr>
      <w:r>
        <w:rPr/>
        <w:t>(Specific measurement) CAL</w:t>
      </w:r>
    </w:p>
    <w:p>
      <w:pPr>
        <w:pStyle w:val="Compact"/>
        <w:numPr>
          <w:ilvl w:val="0"/>
          <w:numId w:val="22"/>
        </w:numPr>
        <w:rPr/>
      </w:pPr>
      <w:r>
        <w:rPr/>
        <w:t>(Specific metric) Change from baseline</w:t>
      </w:r>
    </w:p>
    <w:p>
      <w:pPr>
        <w:pStyle w:val="Compact"/>
        <w:numPr>
          <w:ilvl w:val="0"/>
          <w:numId w:val="23"/>
        </w:numPr>
        <w:rPr/>
      </w:pPr>
      <w:r>
        <w:rPr/>
        <w:t>(Method of aggregation) Mean</w:t>
      </w:r>
    </w:p>
    <w:p>
      <w:pPr>
        <w:pStyle w:val="FirstParagraph"/>
        <w:rPr/>
      </w:pPr>
      <w:r>
        <w:rPr>
          <w:b/>
          <w:bCs/>
        </w:rPr>
        <w:t>Primary outcome</w:t>
      </w:r>
    </w:p>
    <w:p>
      <w:pPr>
        <w:pStyle w:val="TextBody"/>
        <w:rPr/>
      </w:pPr>
      <w:r>
        <w:rPr/>
        <w:t>CAL change.</w:t>
      </w:r>
    </w:p>
    <w:p>
      <w:pPr>
        <w:pStyle w:val="TextBody"/>
        <w:rPr/>
      </w:pPr>
      <w:r>
        <w:rPr>
          <w:b/>
          <w:bCs/>
        </w:rPr>
        <w:t>Secondary outcomes</w:t>
      </w:r>
    </w:p>
    <w:p>
      <w:pPr>
        <w:pStyle w:val="Compact"/>
        <w:numPr>
          <w:ilvl w:val="0"/>
          <w:numId w:val="24"/>
        </w:numPr>
        <w:rPr/>
      </w:pPr>
      <w:r>
        <w:rPr/>
        <w:t>REC change;</w:t>
      </w:r>
    </w:p>
    <w:p>
      <w:pPr>
        <w:pStyle w:val="Compact"/>
        <w:numPr>
          <w:ilvl w:val="0"/>
          <w:numId w:val="25"/>
        </w:numPr>
        <w:rPr/>
      </w:pPr>
      <w:r>
        <w:rPr/>
        <w:t>PD change;</w:t>
      </w:r>
    </w:p>
    <w:p>
      <w:pPr>
        <w:pStyle w:val="Compact"/>
        <w:numPr>
          <w:ilvl w:val="0"/>
          <w:numId w:val="26"/>
        </w:numPr>
        <w:rPr/>
      </w:pPr>
      <w:bookmarkStart w:id="22" w:name="outcomes"/>
      <w:r>
        <w:rPr/>
        <w:t>TP change.</w:t>
      </w:r>
      <w:bookmarkEnd w:id="22"/>
    </w:p>
    <w:p>
      <w:pPr>
        <w:pStyle w:val="Heading2"/>
        <w:rPr/>
      </w:pPr>
      <w:bookmarkStart w:id="23" w:name="__RefHeading___Toc1069_4124424346"/>
      <w:bookmarkEnd w:id="23"/>
      <w:r>
        <w:rPr/>
        <w:t>Covariates</w:t>
      </w:r>
    </w:p>
    <w:p>
      <w:pPr>
        <w:pStyle w:val="FirstParagraph"/>
        <w:rPr/>
      </w:pPr>
      <w:bookmarkStart w:id="24" w:name="covariates"/>
      <w:bookmarkStart w:id="25" w:name="study-parameters"/>
      <w:r>
        <w:rPr/>
        <w:t>No adjustment for covariates will be performed in this analysis.</w:t>
      </w:r>
      <w:bookmarkEnd w:id="24"/>
      <w:bookmarkEnd w:id="25"/>
    </w:p>
    <w:p>
      <w:pPr>
        <w:pStyle w:val="Heading1"/>
        <w:rPr/>
      </w:pPr>
      <w:bookmarkStart w:id="26" w:name="__RefHeading___Toc1071_4124424346"/>
      <w:bookmarkStart w:id="27" w:name="statistical-methods"/>
      <w:bookmarkEnd w:id="26"/>
      <w:r>
        <w:rPr/>
        <w:t>Statistical methods</w:t>
      </w:r>
    </w:p>
    <w:p>
      <w:pPr>
        <w:pStyle w:val="Heading2"/>
        <w:rPr/>
      </w:pPr>
      <w:bookmarkStart w:id="28" w:name="__RefHeading___Toc1073_4124424346"/>
      <w:bookmarkEnd w:id="28"/>
      <w:r>
        <w:rPr/>
        <w:t>Statistical analyses</w:t>
      </w:r>
    </w:p>
    <w:p>
      <w:pPr>
        <w:pStyle w:val="Heading3"/>
        <w:rPr/>
      </w:pPr>
      <w:bookmarkStart w:id="29" w:name="__RefHeading___Toc1075_4124424346"/>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1077_4124424346"/>
      <w:bookmarkEnd w:id="31"/>
      <w:r>
        <w:rPr/>
        <w:t>Inferential analyses</w:t>
      </w:r>
    </w:p>
    <w:p>
      <w:pPr>
        <w:pStyle w:val="FirstParagraph"/>
        <w:rPr/>
      </w:pPr>
      <w:r>
        <w:rPr/>
        <w:t xml:space="preserve">All comparisons between groups will be performed as univariate analyses. Outcomes will be compared between exposure groups with the independent t test with Welch correction.       </w:t>
      </w:r>
    </w:p>
    <w:p>
      <w:pPr>
        <w:pStyle w:val="TextBody"/>
        <w:rPr/>
      </w:pPr>
      <w:bookmarkStart w:id="32" w:name="inferential-analyses"/>
      <w:r>
        <w:rPr/>
        <w:t>The Cohen’s d standardized mean difference will be reported for all outcomes as the effect size for the efficacy of the main exposure relative to the gold standard.</w:t>
      </w:r>
      <w:bookmarkEnd w:id="32"/>
    </w:p>
    <w:p>
      <w:pPr>
        <w:pStyle w:val="Heading3"/>
        <w:rPr/>
      </w:pPr>
      <w:bookmarkStart w:id="33" w:name="__RefHeading___Toc1079_4124424346"/>
      <w:bookmarkEnd w:id="33"/>
      <w:r>
        <w:rPr/>
        <w:t>Statistical modeling</w:t>
      </w:r>
    </w:p>
    <w:p>
      <w:pPr>
        <w:pStyle w:val="FirstParagraph"/>
        <w:rPr/>
      </w:pPr>
      <w:bookmarkStart w:id="34" w:name="statistical-modeling"/>
      <w:r>
        <w:rPr/>
        <w:t>N/A</w:t>
      </w:r>
      <w:bookmarkEnd w:id="34"/>
    </w:p>
    <w:p>
      <w:pPr>
        <w:pStyle w:val="Heading3"/>
        <w:rPr/>
      </w:pPr>
      <w:bookmarkStart w:id="35" w:name="__RefHeading___Toc1081_4124424346"/>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1083_4124424346"/>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1085_4124424346"/>
      <w:bookmarkStart w:id="41" w:name="study-size-and-power"/>
      <w:bookmarkEnd w:id="40"/>
      <w:r>
        <w:rPr/>
        <w:t>Study size and Power</w:t>
      </w:r>
    </w:p>
    <w:p>
      <w:pPr>
        <w:pStyle w:val="FirstParagraph"/>
        <w:rPr/>
      </w:pPr>
      <w:r>
        <w:rPr/>
        <w:t>Study groups were balanced and the total sample size was 20 including all groups.</w:t>
      </w:r>
    </w:p>
    <w:p>
      <w:pPr>
        <w:pStyle w:val="TextBody"/>
        <w:rPr/>
      </w:pPr>
      <w:r>
        <w:rPr/>
        <w:t xml:space="preserve">With these group sizes a t test can detect an effect size as large as </w:t>
      </w:r>
      <w:r>
        <w:rPr>
          <w:b/>
          <w:bCs/>
        </w:rPr>
        <w:t>d = 1.32</w:t>
      </w:r>
      <w:r>
        <w:rPr/>
        <w:t xml:space="preserve"> with 80% power and 5% significance level (Cohen, 1988).</w:t>
      </w:r>
      <w:bookmarkEnd w:id="41"/>
    </w:p>
    <w:p>
      <w:pPr>
        <w:pStyle w:val="Heading2"/>
        <w:rPr/>
      </w:pPr>
      <w:bookmarkStart w:id="42" w:name="__RefHeading___Toc1087_4124424346"/>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rPr/>
      </w:pPr>
      <w:bookmarkStart w:id="44" w:name="__RefHeading___Toc1089_4124424346"/>
      <w:bookmarkStart w:id="45" w:name="observations-and-limitations"/>
      <w:bookmarkEnd w:id="44"/>
      <w:r>
        <w:rPr/>
        <w:t>Observations and limitations</w:t>
      </w:r>
    </w:p>
    <w:p>
      <w:pPr>
        <w:pStyle w:val="FirstParagraph"/>
        <w:rPr/>
      </w:pPr>
      <w:r>
        <w:rPr>
          <w:b/>
          <w:bCs/>
        </w:rPr>
        <w:t>Small sample size</w:t>
      </w:r>
    </w:p>
    <w:p>
      <w:pPr>
        <w:pStyle w:val="TextBody"/>
        <w:rPr/>
      </w:pPr>
      <w:r>
        <w:rPr/>
        <w:t>The total sample size of this study is only 20 participants. Cohen considered an effect size of d = 0.8 to be large, which means that this sample size is only able to detect very large clinical effects.</w:t>
      </w:r>
    </w:p>
    <w:p>
      <w:pPr>
        <w:pStyle w:val="TextBody"/>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clinical trials are recommended to be reported following the CONSORT guideline (Schulz K F, Altman D G, Moher D., 2010).</w:t>
      </w:r>
      <w:bookmarkEnd w:id="45"/>
    </w:p>
    <w:p>
      <w:pPr>
        <w:pStyle w:val="Heading1"/>
        <w:keepLines/>
        <w:widowControl/>
        <w:numPr>
          <w:ilvl w:val="0"/>
          <w:numId w:val="0"/>
        </w:numPr>
        <w:suppressAutoHyphens w:val="true"/>
        <w:ind w:left="0" w:hanging="0"/>
        <w:jc w:val="left"/>
        <w:rPr/>
      </w:pPr>
      <w:r>
        <w:rPr/>
      </w:r>
      <w:r>
        <w:br w:type="page"/>
      </w:r>
    </w:p>
    <w:p>
      <w:pPr>
        <w:pStyle w:val="Heading1"/>
        <w:rPr/>
      </w:pPr>
      <w:bookmarkStart w:id="46" w:name="__RefHeading___Toc1091_4124424346"/>
      <w:bookmarkStart w:id="47" w:name="references"/>
      <w:bookmarkEnd w:id="46"/>
      <w:r>
        <w:rPr/>
        <w:t>References</w:t>
      </w:r>
    </w:p>
    <w:p>
      <w:pPr>
        <w:pStyle w:val="Compact"/>
        <w:numPr>
          <w:ilvl w:val="0"/>
          <w:numId w:val="27"/>
        </w:numPr>
        <w:rPr/>
      </w:pPr>
      <w:r>
        <w:rPr/>
        <w:t>Cohen, J. (1988). Statistical power analysis for the behavioral sciences (2nd Ed.). New York: Routledge.</w:t>
      </w:r>
    </w:p>
    <w:p>
      <w:pPr>
        <w:pStyle w:val="Compact"/>
        <w:numPr>
          <w:ilvl w:val="0"/>
          <w:numId w:val="28"/>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29"/>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30"/>
        </w:numPr>
        <w:rPr/>
      </w:pPr>
      <w:r>
        <w:rPr/>
        <w:t>Schulz K F, Altman D G, Moher D. CONSORT 2010 Statement: updated guidelines for reporting parallel group randomised trials BMJ 2010; 340 :c332 (</w:t>
      </w:r>
      <w:hyperlink r:id="rId5">
        <w:r>
          <w:rPr>
            <w:rStyle w:val="InternetLink"/>
          </w:rPr>
          <w:t>https://doi.org/10.1136/bmj.c332</w:t>
        </w:r>
      </w:hyperlink>
      <w:r>
        <w:rPr/>
        <w:t>).</w:t>
      </w:r>
      <w:bookmarkEnd w:id="47"/>
    </w:p>
    <w:p>
      <w:pPr>
        <w:pStyle w:val="Heading1"/>
        <w:rPr/>
      </w:pPr>
      <w:bookmarkStart w:id="48" w:name="__RefHeading___Toc1093_4124424346"/>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1095_4124424346"/>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vailability"/>
        <w:bookmarkStart w:id="51" w:name="appendix"/>
        <w:r>
          <w:rPr>
            <w:rStyle w:val="InternetLink"/>
          </w:rPr>
          <w:t>https://philsf-biostat.github.io/SAR-2023-010-TK/</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2"/>
  </w:num>
  <w:num w:numId="17">
    <w:abstractNumId w:val="2"/>
  </w:num>
  <w:num w:numId="18">
    <w:abstractNumId w:val="2"/>
  </w:num>
  <w:num w:numId="19">
    <w:abstractNumId w:val="2"/>
  </w:num>
  <w:num w:numId="20">
    <w:abstractNumId w:val="8"/>
    <w:lvlOverride w:ilvl="0">
      <w:startOverride w:val="1"/>
    </w:lvlOverride>
  </w:num>
  <w:num w:numId="21">
    <w:abstractNumId w:val="8"/>
  </w:num>
  <w:num w:numId="22">
    <w:abstractNumId w:val="8"/>
  </w:num>
  <w:num w:numId="23">
    <w:abstractNumId w:val="8"/>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136/bmj.c332" TargetMode="External"/><Relationship Id="rId6" Type="http://schemas.openxmlformats.org/officeDocument/2006/relationships/hyperlink" Target="https://philsf-biostat.github.io/SAR-2023-010-T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LibreOffice/7.5.1.2$Linux_X86_64 LibreOffice_project/50$Build-2</Application>
  <AppVersion>15.0000</AppVersion>
  <Pages>6</Pages>
  <Words>958</Words>
  <Characters>5456</Characters>
  <CharactersWithSpaces>6341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2023-03-01T23:05:01Z</dcterms:created>
  <dc:creator>From: Felipe Figueiredo To: Tom Kobe</dc:creator>
  <dc:description/>
  <dc:language>pt-BR</dc:language>
  <cp:lastModifiedBy/>
  <dcterms:modified xsi:type="dcterms:W3CDTF">2023-03-01T20:08:03Z</dcterms:modified>
  <cp:revision>4</cp:revision>
  <dc:subject/>
  <dc:title>Analytical Plan for Efficacy of pre-hydrated collagenated xenogenic bone mix in periodontal intrabony defects: clinical trial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2023-03-01</vt:lpwstr>
  </property>
  <property fmtid="{D5CDD505-2E9C-101B-9397-08002B2CF9AE}" pid="3" name="output">
    <vt:lpwstr/>
  </property>
  <property fmtid="{D5CDD505-2E9C-101B-9397-08002B2CF9AE}" pid="4" name="subtitle">
    <vt:lpwstr>DOCUMENT: SAP-2023-010-TK-v01</vt:lpwstr>
  </property>
</Properties>
</file>