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Non-inferiority of pre-hydrated collagenated xenogenic bone mix in periodontal intrabony defects: clinical trial</w:t>
      </w:r>
    </w:p>
    <w:p>
      <w:pPr>
        <w:pStyle w:val="Subtitle"/>
        <w:rPr/>
      </w:pPr>
      <w:r>
        <w:rPr/>
        <w:t>DOCUMENT: SAR-2023-010-TK-v01</w:t>
      </w:r>
    </w:p>
    <w:p>
      <w:pPr>
        <w:pStyle w:val="Author"/>
        <w:rPr/>
      </w:pPr>
      <w:r>
        <w:rPr>
          <w:b/>
          <w:bCs/>
        </w:rPr>
        <w:t>From:</w:t>
      </w:r>
      <w:r>
        <w:rPr/>
        <w:t xml:space="preserve"> Felipe Figueiredo </w:t>
      </w:r>
      <w:r>
        <w:rPr>
          <w:b/>
          <w:bCs/>
        </w:rPr>
        <w:t>To:</w:t>
      </w:r>
      <w:r>
        <w:rPr/>
        <w:t xml:space="preserve"> Tom Kobe</w:t>
      </w:r>
    </w:p>
    <w:p>
      <w:pPr>
        <w:pStyle w:val="Date"/>
        <w:rPr/>
      </w:pPr>
      <w:r>
        <w:rPr/>
        <w:t>2023-03-08</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230_1602370052">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1232_1602370052">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1234_1602370052">
            <w:r>
              <w:rPr>
                <w:webHidden/>
                <w:rStyle w:val="IndexLink"/>
              </w:rPr>
              <w:t xml:space="preserve"> </w:t>
            </w:r>
            <w:r>
              <w:rPr>
                <w:rStyle w:val="IndexLink"/>
              </w:rPr>
              <w:t>2.1  Objectives</w:t>
              <w:tab/>
              <w:t>2</w:t>
            </w:r>
          </w:hyperlink>
        </w:p>
        <w:p>
          <w:pPr>
            <w:pStyle w:val="Contents1"/>
            <w:tabs>
              <w:tab w:val="clear" w:pos="9360"/>
              <w:tab w:val="right" w:pos="9638" w:leader="dot"/>
            </w:tabs>
            <w:rPr/>
          </w:pPr>
          <w:hyperlink w:anchor="__RefHeading___Toc1236_1602370052">
            <w:r>
              <w:rPr>
                <w:webHidden/>
                <w:rStyle w:val="IndexLink"/>
              </w:rPr>
              <w:t xml:space="preserve"> </w:t>
            </w:r>
            <w:r>
              <w:rPr>
                <w:rStyle w:val="IndexLink"/>
              </w:rPr>
              <w:t>3  Methods</w:t>
              <w:tab/>
              <w:t>2</w:t>
            </w:r>
          </w:hyperlink>
        </w:p>
        <w:p>
          <w:pPr>
            <w:pStyle w:val="Contents1"/>
            <w:tabs>
              <w:tab w:val="clear" w:pos="9360"/>
              <w:tab w:val="right" w:pos="9638" w:leader="dot"/>
            </w:tabs>
            <w:rPr/>
          </w:pPr>
          <w:hyperlink w:anchor="__RefHeading___Toc1238_1602370052">
            <w:r>
              <w:rPr>
                <w:webHidden/>
                <w:rStyle w:val="IndexLink"/>
              </w:rPr>
              <w:t xml:space="preserve"> </w:t>
            </w:r>
            <w:r>
              <w:rPr>
                <w:rStyle w:val="IndexLink"/>
              </w:rPr>
              <w:t>4  Results</w:t>
              <w:tab/>
              <w:t>3</w:t>
            </w:r>
          </w:hyperlink>
        </w:p>
        <w:p>
          <w:pPr>
            <w:pStyle w:val="Contents2"/>
            <w:tabs>
              <w:tab w:val="clear" w:pos="9077"/>
              <w:tab w:val="right" w:pos="9638" w:leader="dot"/>
            </w:tabs>
            <w:rPr/>
          </w:pPr>
          <w:hyperlink w:anchor="__RefHeading___Toc1240_1602370052">
            <w:r>
              <w:rPr>
                <w:webHidden/>
                <w:rStyle w:val="IndexLink"/>
              </w:rPr>
              <w:t xml:space="preserve"> </w:t>
            </w:r>
            <w:r>
              <w:rPr>
                <w:rStyle w:val="IndexLink"/>
              </w:rPr>
              <w:t>4.1  Study population and follow up</w:t>
              <w:tab/>
              <w:t>3</w:t>
            </w:r>
          </w:hyperlink>
        </w:p>
        <w:p>
          <w:pPr>
            <w:pStyle w:val="Contents2"/>
            <w:tabs>
              <w:tab w:val="clear" w:pos="9077"/>
              <w:tab w:val="right" w:pos="9638" w:leader="dot"/>
            </w:tabs>
            <w:rPr/>
          </w:pPr>
          <w:hyperlink w:anchor="__RefHeading___Toc1242_1602370052">
            <w:r>
              <w:rPr>
                <w:webHidden/>
                <w:rStyle w:val="IndexLink"/>
              </w:rPr>
              <w:t xml:space="preserve"> </w:t>
            </w:r>
            <w:r>
              <w:rPr>
                <w:rStyle w:val="IndexLink"/>
              </w:rPr>
              <w:t>4.2  Inferential analysis</w:t>
              <w:tab/>
              <w:t>5</w:t>
            </w:r>
          </w:hyperlink>
        </w:p>
        <w:p>
          <w:pPr>
            <w:pStyle w:val="Contents1"/>
            <w:tabs>
              <w:tab w:val="clear" w:pos="9360"/>
              <w:tab w:val="right" w:pos="9638" w:leader="dot"/>
            </w:tabs>
            <w:rPr/>
          </w:pPr>
          <w:hyperlink w:anchor="__RefHeading___Toc1244_1602370052">
            <w:r>
              <w:rPr>
                <w:webHidden/>
                <w:rStyle w:val="IndexLink"/>
              </w:rPr>
              <w:t xml:space="preserve"> </w:t>
            </w:r>
            <w:r>
              <w:rPr>
                <w:rStyle w:val="IndexLink"/>
              </w:rPr>
              <w:t>5  Observations and Limitations</w:t>
              <w:tab/>
              <w:t>6</w:t>
            </w:r>
          </w:hyperlink>
        </w:p>
        <w:p>
          <w:pPr>
            <w:pStyle w:val="Contents1"/>
            <w:tabs>
              <w:tab w:val="clear" w:pos="9360"/>
              <w:tab w:val="right" w:pos="9638" w:leader="dot"/>
            </w:tabs>
            <w:rPr/>
          </w:pPr>
          <w:hyperlink w:anchor="__RefHeading___Toc1246_1602370052">
            <w:r>
              <w:rPr>
                <w:webHidden/>
                <w:rStyle w:val="IndexLink"/>
              </w:rPr>
              <w:t xml:space="preserve"> </w:t>
            </w:r>
            <w:r>
              <w:rPr>
                <w:rStyle w:val="IndexLink"/>
              </w:rPr>
              <w:t>6  Conclusions</w:t>
              <w:tab/>
              <w:t>7</w:t>
            </w:r>
          </w:hyperlink>
        </w:p>
        <w:p>
          <w:pPr>
            <w:pStyle w:val="Contents1"/>
            <w:tabs>
              <w:tab w:val="clear" w:pos="9360"/>
              <w:tab w:val="right" w:pos="9638" w:leader="dot"/>
            </w:tabs>
            <w:rPr/>
          </w:pPr>
          <w:hyperlink w:anchor="__RefHeading___Toc1248_1602370052">
            <w:r>
              <w:rPr>
                <w:webHidden/>
                <w:rStyle w:val="IndexLink"/>
              </w:rPr>
              <w:t xml:space="preserve"> </w:t>
            </w:r>
            <w:r>
              <w:rPr>
                <w:rStyle w:val="IndexLink"/>
              </w:rPr>
              <w:t>7  References</w:t>
              <w:tab/>
              <w:t>7</w:t>
            </w:r>
          </w:hyperlink>
        </w:p>
        <w:p>
          <w:pPr>
            <w:pStyle w:val="Contents1"/>
            <w:tabs>
              <w:tab w:val="clear" w:pos="9360"/>
              <w:tab w:val="right" w:pos="9638" w:leader="dot"/>
            </w:tabs>
            <w:rPr/>
          </w:pPr>
          <w:hyperlink w:anchor="__RefHeading___Toc1250_1602370052">
            <w:r>
              <w:rPr>
                <w:webHidden/>
                <w:rStyle w:val="IndexLink"/>
              </w:rPr>
              <w:t xml:space="preserve"> </w:t>
            </w:r>
            <w:r>
              <w:rPr>
                <w:rStyle w:val="IndexLink"/>
              </w:rPr>
              <w:t>8  Appendix</w:t>
              <w:tab/>
              <w:t>8</w:t>
            </w:r>
          </w:hyperlink>
        </w:p>
        <w:p>
          <w:pPr>
            <w:pStyle w:val="Contents2"/>
            <w:tabs>
              <w:tab w:val="clear" w:pos="9077"/>
              <w:tab w:val="right" w:pos="9638" w:leader="dot"/>
            </w:tabs>
            <w:rPr/>
          </w:pPr>
          <w:hyperlink w:anchor="__RefHeading___Toc1252_1602370052">
            <w:r>
              <w:rPr>
                <w:webHidden/>
                <w:rStyle w:val="IndexLink"/>
              </w:rPr>
              <w:t xml:space="preserve"> </w:t>
            </w:r>
            <w:r>
              <w:rPr>
                <w:rStyle w:val="IndexLink"/>
              </w:rPr>
              <w:t>8.1  Exploratory data analysis</w:t>
              <w:tab/>
              <w:t>8</w:t>
            </w:r>
          </w:hyperlink>
        </w:p>
        <w:p>
          <w:pPr>
            <w:pStyle w:val="Contents2"/>
            <w:tabs>
              <w:tab w:val="clear" w:pos="9077"/>
              <w:tab w:val="right" w:pos="9638" w:leader="dot"/>
            </w:tabs>
            <w:rPr/>
          </w:pPr>
          <w:hyperlink w:anchor="__RefHeading___Toc1254_1602370052">
            <w:r>
              <w:rPr>
                <w:webHidden/>
                <w:rStyle w:val="IndexLink"/>
              </w:rPr>
              <w:t xml:space="preserve"> </w:t>
            </w:r>
            <w:r>
              <w:rPr>
                <w:rStyle w:val="IndexLink"/>
              </w:rPr>
              <w:t>8.2  Availability</w:t>
              <w:tab/>
              <w:t>8</w:t>
            </w:r>
          </w:hyperlink>
        </w:p>
        <w:p>
          <w:pPr>
            <w:pStyle w:val="Contents2"/>
            <w:tabs>
              <w:tab w:val="clear" w:pos="9077"/>
              <w:tab w:val="right" w:pos="9638" w:leader="dot"/>
            </w:tabs>
            <w:rPr/>
          </w:pPr>
          <w:hyperlink w:anchor="__RefHeading___Toc1256_1602370052">
            <w:r>
              <w:rPr>
                <w:webHidden/>
                <w:rStyle w:val="IndexLink"/>
              </w:rPr>
              <w:t xml:space="preserve"> </w:t>
            </w:r>
            <w:r>
              <w:rPr>
                <w:rStyle w:val="IndexLink"/>
              </w:rPr>
              <w:t>8.3  Analytical dataset</w:t>
              <w:tab/>
              <w:t>9</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Non-inferiority of pre-hydrated collagenated xenogenic bone mix in periodontal intrabony defects: clinical trial</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999"/>
        <w:gridCol w:w="5637"/>
      </w:tblGrid>
      <w:tr>
        <w:trPr/>
        <w:tc>
          <w:tcPr>
            <w:tcW w:w="399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63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999"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63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1230_1602370052"/>
      <w:bookmarkStart w:id="1" w:name="abbreviations"/>
      <w:bookmarkEnd w:id="0"/>
      <w:r>
        <w:rPr/>
        <w:t>Abbreviations</w:t>
      </w:r>
    </w:p>
    <w:p>
      <w:pPr>
        <w:pStyle w:val="Compact"/>
        <w:numPr>
          <w:ilvl w:val="0"/>
          <w:numId w:val="2"/>
        </w:numPr>
        <w:rPr/>
      </w:pPr>
      <w:r>
        <w:rPr/>
        <w:t>CAL: clinical attachment level</w:t>
      </w:r>
    </w:p>
    <w:p>
      <w:pPr>
        <w:pStyle w:val="Compact"/>
        <w:numPr>
          <w:ilvl w:val="0"/>
          <w:numId w:val="2"/>
        </w:numPr>
        <w:rPr/>
      </w:pPr>
      <w:r>
        <w:rPr/>
        <w:t>CI: confidence interval</w:t>
      </w:r>
    </w:p>
    <w:p>
      <w:pPr>
        <w:pStyle w:val="Compact"/>
        <w:numPr>
          <w:ilvl w:val="0"/>
          <w:numId w:val="2"/>
        </w:numPr>
        <w:rPr/>
      </w:pPr>
      <w:r>
        <w:rPr/>
        <w:t>d: Cohen’s D effect size</w:t>
      </w:r>
    </w:p>
    <w:p>
      <w:pPr>
        <w:pStyle w:val="Compact"/>
        <w:numPr>
          <w:ilvl w:val="0"/>
          <w:numId w:val="2"/>
        </w:numPr>
        <w:rPr/>
      </w:pPr>
      <w:r>
        <w:rPr/>
        <w:t>PD: probing depth</w:t>
      </w:r>
    </w:p>
    <w:p>
      <w:pPr>
        <w:pStyle w:val="Compact"/>
        <w:numPr>
          <w:ilvl w:val="0"/>
          <w:numId w:val="2"/>
        </w:numPr>
        <w:rPr/>
      </w:pPr>
      <w:r>
        <w:rPr/>
        <w:t>REC: gingival recession</w:t>
      </w:r>
    </w:p>
    <w:p>
      <w:pPr>
        <w:pStyle w:val="Compact"/>
        <w:numPr>
          <w:ilvl w:val="0"/>
          <w:numId w:val="2"/>
        </w:numPr>
        <w:rPr/>
      </w:pPr>
      <w:r>
        <w:rPr/>
        <w:t>TP: tip of the papillae</w:t>
      </w:r>
    </w:p>
    <w:p>
      <w:pPr>
        <w:pStyle w:val="Compact"/>
        <w:numPr>
          <w:ilvl w:val="0"/>
          <w:numId w:val="2"/>
        </w:numPr>
        <w:rPr/>
      </w:pPr>
      <w:bookmarkStart w:id="2" w:name="abbreviations"/>
      <w:r>
        <w:rPr/>
        <w:t>SD: standard deviation</w:t>
      </w:r>
      <w:bookmarkEnd w:id="2"/>
    </w:p>
    <w:p>
      <w:pPr>
        <w:pStyle w:val="Heading1"/>
        <w:rPr/>
      </w:pPr>
      <w:bookmarkStart w:id="3" w:name="__RefHeading___Toc1232_1602370052"/>
      <w:bookmarkStart w:id="4" w:name="context"/>
      <w:bookmarkEnd w:id="3"/>
      <w:r>
        <w:rPr/>
        <w:t>Context</w:t>
      </w:r>
    </w:p>
    <w:p>
      <w:pPr>
        <w:pStyle w:val="Heading2"/>
        <w:rPr/>
      </w:pPr>
      <w:bookmarkStart w:id="5" w:name="__RefHeading___Toc1234_1602370052"/>
      <w:bookmarkStart w:id="6" w:name="objectives"/>
      <w:bookmarkEnd w:id="5"/>
      <w:r>
        <w:rPr/>
        <w:t>Objectives</w:t>
      </w:r>
    </w:p>
    <w:p>
      <w:pPr>
        <w:pStyle w:val="FirstParagraph"/>
        <w:rPr/>
      </w:pPr>
      <w:bookmarkStart w:id="7" w:name="context"/>
      <w:bookmarkStart w:id="8" w:name="objectives"/>
      <w:r>
        <w:rPr/>
        <w:t>To evaluate the non-inferiority of using pre-hydrated collagenated xenogenic bone mix in periodontal intrabony defects.</w:t>
      </w:r>
      <w:bookmarkEnd w:id="7"/>
      <w:bookmarkEnd w:id="8"/>
    </w:p>
    <w:p>
      <w:pPr>
        <w:pStyle w:val="Heading1"/>
        <w:rPr/>
      </w:pPr>
      <w:bookmarkStart w:id="9" w:name="__RefHeading___Toc1236_1602370052"/>
      <w:bookmarkStart w:id="10" w:name="methods"/>
      <w:bookmarkEnd w:id="9"/>
      <w:r>
        <w:rPr/>
        <w:t>Methods</w:t>
      </w:r>
    </w:p>
    <w:p>
      <w:pPr>
        <w:pStyle w:val="FirstParagraph"/>
        <w:rPr/>
      </w:pPr>
      <w:r>
        <w:rPr/>
        <w:t xml:space="preserve">The data procedures, design and analysis methods used in this report are fully described in the annex document </w:t>
      </w:r>
      <w:r>
        <w:rPr>
          <w:b/>
          <w:bCs/>
        </w:rPr>
        <w:t>SAP-2023-010-TK-v01</w:t>
      </w:r>
      <w:r>
        <w:rPr/>
        <w:t>.</w:t>
      </w:r>
    </w:p>
    <w:p>
      <w:pPr>
        <w:pStyle w:val="TextBody"/>
        <w:rPr/>
      </w:pPr>
      <w:r>
        <w:rPr/>
        <w:t xml:space="preserve">This analysis was performed using statistical software </w:t>
      </w:r>
      <w:r>
        <w:rPr>
          <w:rStyle w:val="VerbatimChar"/>
        </w:rPr>
        <w:t>R</w:t>
      </w:r>
      <w:r>
        <w:rPr/>
        <w:t xml:space="preserve"> version 4.2.1.</w:t>
      </w:r>
      <w:bookmarkEnd w:id="10"/>
    </w:p>
    <w:p>
      <w:pPr>
        <w:pStyle w:val="Heading1"/>
        <w:rPr/>
      </w:pPr>
      <w:bookmarkStart w:id="11" w:name="__RefHeading___Toc1238_1602370052"/>
      <w:bookmarkStart w:id="12" w:name="results"/>
      <w:bookmarkEnd w:id="11"/>
      <w:r>
        <w:rPr/>
        <w:t>Results</w:t>
      </w:r>
    </w:p>
    <w:p>
      <w:pPr>
        <w:pStyle w:val="Heading2"/>
        <w:rPr/>
      </w:pPr>
      <w:bookmarkStart w:id="13" w:name="__RefHeading___Toc1240_1602370052"/>
      <w:bookmarkStart w:id="14" w:name="study-population-and-follow-up"/>
      <w:bookmarkEnd w:id="13"/>
      <w:r>
        <w:rPr/>
        <w:t>Study population and follow up</w:t>
      </w:r>
    </w:p>
    <w:p>
      <w:pPr>
        <w:pStyle w:val="FirstParagraph"/>
        <w:rPr/>
      </w:pPr>
      <w:r>
        <w:rPr/>
        <w:t>In total, there were 20 participants included in the study, of which 12 (60%) were women (Table 1). The average (SD) age of the study participant was 53 (9) years.</w:t>
      </w:r>
    </w:p>
    <w:p>
      <w:pPr>
        <w:pStyle w:val="TextBody"/>
        <w:rPr/>
      </w:pPr>
      <w:r>
        <w:rPr/>
        <w:t>Overall baseline and end-of-study levels of the outcomes in the study sample can be seen in Table 1.</w:t>
      </w:r>
    </w:p>
    <w:p>
      <w:pPr>
        <w:pStyle w:val="TableCaption"/>
        <w:keepNext w:val="true"/>
        <w:pBdr/>
        <w:spacing w:lineRule="exact" w:line="240" w:before="60" w:after="60"/>
        <w:ind w:left="60" w:right="60" w:hanging="0"/>
        <w:jc w:val="left"/>
        <w:rPr/>
      </w:pPr>
      <w:r>
        <w:rPr>
          <w:b/>
          <w:bCs/>
        </w:rPr>
        <w:t>Table 1</w:t>
      </w:r>
      <w:r>
        <w:rPr/>
        <w:t xml:space="preserve"> Epidemiological and clinical characteristics of study participants.</w:t>
      </w:r>
    </w:p>
    <w:tbl>
      <w:tblPr>
        <w:tblW w:w="6180" w:type="dxa"/>
        <w:jc w:val="center"/>
        <w:tblInd w:w="0" w:type="dxa"/>
        <w:tblLayout w:type="fixed"/>
        <w:tblCellMar>
          <w:top w:w="0" w:type="dxa"/>
          <w:left w:w="0" w:type="dxa"/>
          <w:bottom w:w="0" w:type="dxa"/>
          <w:right w:w="0" w:type="dxa"/>
        </w:tblCellMar>
        <w:tblLook w:noHBand="0" w:noVBand="1" w:firstColumn="0" w:lastRow="0" w:lastColumn="0" w:firstRow="1"/>
      </w:tblPr>
      <w:tblGrid>
        <w:gridCol w:w="4657"/>
        <w:gridCol w:w="1523"/>
      </w:tblGrid>
      <w:tr>
        <w:trPr>
          <w:tblHeader w:val="true"/>
          <w:trHeight w:val="581" w:hRule="atLeast"/>
        </w:trPr>
        <w:tc>
          <w:tcPr>
            <w:tcW w:w="4657"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Characteristic</w:t>
            </w:r>
          </w:p>
        </w:tc>
        <w:tc>
          <w:tcPr>
            <w:tcW w:w="1523"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N = 20</w:t>
            </w:r>
          </w:p>
        </w:tc>
      </w:tr>
      <w:tr>
        <w:trPr>
          <w:trHeight w:val="607" w:hRule="atLeast"/>
        </w:trPr>
        <w:tc>
          <w:tcPr>
            <w:tcW w:w="4657" w:type="dxa"/>
            <w:tcBorders>
              <w:top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Biomaterial, n (%)</w:t>
            </w:r>
          </w:p>
        </w:tc>
        <w:tc>
          <w:tcPr>
            <w:tcW w:w="1523" w:type="dxa"/>
            <w:tcBorders>
              <w:top w:val="single" w:sz="8" w:space="0" w:color="000000"/>
            </w:tcBorders>
            <w:shd w:color="auto" w:fill="FFFFFF" w:val="clear"/>
          </w:tcPr>
          <w:p>
            <w:pPr>
              <w:pStyle w:val="Normal"/>
              <w:widowControl w:val="false"/>
              <w:pBdr/>
              <w:spacing w:lineRule="exact" w:line="240" w:before="0" w:after="0"/>
              <w:ind w:left="100" w:right="100" w:hanging="0"/>
              <w:jc w:val="center"/>
              <w:rPr/>
            </w:pPr>
            <w:r>
              <w:rPr/>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Gen-Os</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10 (50%)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Gel 40</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10 (50%)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Gender, n (%)</w:t>
            </w:r>
          </w:p>
        </w:tc>
        <w:tc>
          <w:tcPr>
            <w:tcW w:w="1523" w:type="dxa"/>
            <w:tcBorders/>
            <w:shd w:color="auto" w:fill="FFFFFF" w:val="clear"/>
          </w:tcPr>
          <w:p>
            <w:pPr>
              <w:pStyle w:val="Normal"/>
              <w:widowControl w:val="false"/>
              <w:pBdr/>
              <w:spacing w:lineRule="exact" w:line="240" w:before="0" w:after="0"/>
              <w:ind w:left="100" w:right="100" w:hanging="0"/>
              <w:jc w:val="center"/>
              <w:rPr/>
            </w:pPr>
            <w:r>
              <w:rPr/>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Female</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12 (60%)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Male</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8 (40%)</w:t>
            </w:r>
          </w:p>
        </w:tc>
      </w:tr>
      <w:tr>
        <w:trPr>
          <w:trHeight w:val="623"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Age (years), Mean (SD)</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53 (9)</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Tooth, n (%)</w:t>
            </w:r>
          </w:p>
        </w:tc>
        <w:tc>
          <w:tcPr>
            <w:tcW w:w="1523" w:type="dxa"/>
            <w:tcBorders/>
            <w:shd w:color="auto" w:fill="FFFFFF" w:val="clear"/>
          </w:tcPr>
          <w:p>
            <w:pPr>
              <w:pStyle w:val="Normal"/>
              <w:widowControl w:val="false"/>
              <w:pBdr/>
              <w:spacing w:lineRule="exact" w:line="240" w:before="0" w:after="0"/>
              <w:ind w:left="100" w:right="100" w:hanging="0"/>
              <w:jc w:val="center"/>
              <w:rPr/>
            </w:pPr>
            <w:r>
              <w:rPr/>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11</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2 (10%)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12</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 (5.0%)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13</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 (5.0%)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15</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 (5.0%)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21</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2 (10%)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32</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 (5.0%)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33</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 (5.0%)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35</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 (5.0%)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36</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 (5.0%)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43</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3 (15%)</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44</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 (5.0%)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45</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2 (10%)</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46</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3 (15%)</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PD (baseline), Mean (SD)</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7.75 (1.52)</w:t>
            </w:r>
          </w:p>
        </w:tc>
      </w:tr>
      <w:tr>
        <w:trPr>
          <w:trHeight w:val="624"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PD (end-of-study), Mean (SD)</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4.05 (1.64)</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TP (baseline), Mean (SD)</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6 (6)</w:t>
            </w:r>
          </w:p>
        </w:tc>
      </w:tr>
      <w:tr>
        <w:trPr>
          <w:trHeight w:val="624"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TP (end-of-study), Mean (SD)</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6.0 (5.4)</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REC (baseline), Mean (SD)</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2.05 (1.28)</w:t>
            </w:r>
          </w:p>
        </w:tc>
      </w:tr>
      <w:tr>
        <w:trPr>
          <w:trHeight w:val="624"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REC (end-of-study), Mean (SD)</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2.10 (1.25)</w:t>
            </w:r>
          </w:p>
        </w:tc>
      </w:tr>
      <w:tr>
        <w:trPr>
          <w:trHeight w:val="607" w:hRule="atLeast"/>
        </w:trPr>
        <w:tc>
          <w:tcPr>
            <w:tcW w:w="4657"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CAL (baseline), Mean (SD)</w:t>
            </w:r>
          </w:p>
        </w:tc>
        <w:tc>
          <w:tcPr>
            <w:tcW w:w="152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9.80 (1.96)</w:t>
            </w:r>
          </w:p>
        </w:tc>
      </w:tr>
      <w:tr>
        <w:trPr>
          <w:trHeight w:val="624" w:hRule="atLeast"/>
        </w:trPr>
        <w:tc>
          <w:tcPr>
            <w:tcW w:w="4657" w:type="dxa"/>
            <w:tcBorders>
              <w:bottom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CAL (end-of-study), Mean (SD)</w:t>
            </w:r>
          </w:p>
        </w:tc>
        <w:tc>
          <w:tcPr>
            <w:tcW w:w="1523" w:type="dxa"/>
            <w:tcBorders>
              <w:bottom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6.15 (2.01)</w:t>
            </w:r>
          </w:p>
        </w:tc>
      </w:tr>
    </w:tbl>
    <w:p>
      <w:pPr>
        <w:pStyle w:val="TextBody"/>
        <w:rPr/>
      </w:pPr>
      <w:r>
        <w:rPr/>
        <w:t>The distribution density of change in outcome levels can be seen in Figure 1. The center of change in CAL was slightly higher in the Gel 40 group when compared to Gen-Os group, but the variability in the Gen-Os group is much larger, as seen in the width of its distribution, and with a heavy tail towards higher values. The distribution of CAL change in Gel 40 appears to be bi-modal, although its shape seems more well-defined with less variability around the center. This could be a result of the larger amount of participants in the lower range of REC change when compared to the Gen-Os group.</w:t>
      </w:r>
    </w:p>
    <w:p>
      <w:pPr>
        <w:pStyle w:val="CaptionedFigure"/>
        <w:rPr/>
      </w:pPr>
      <w:r>
        <w:rPr/>
        <w:drawing>
          <wp:inline distT="0" distB="0" distL="0" distR="0">
            <wp:extent cx="4333240" cy="4333240"/>
            <wp:effectExtent l="0" t="0" r="0" b="0"/>
            <wp:docPr id="3" name="Picture" descr="Figure 1 Density distribution of changes in study outc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ensity distribution of changes in study outcomes."/>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Density distribution of changes in study outcomes.</w:t>
      </w:r>
    </w:p>
    <w:p>
      <w:pPr>
        <w:pStyle w:val="TextBody"/>
        <w:rPr/>
      </w:pPr>
      <w:bookmarkStart w:id="15" w:name="study-population-and-follow-up"/>
      <w:r>
        <w:rPr/>
        <w:t>The PD change distribution appears slightly bi-modal in the Gel 40 group, and the average change was higher than the Gen-Os group, but this could be due to the small sample size (see Observations). The REC change appear to have similar averages in both groups, but as mentioned above the Gel 40 group has a heavier tail at the lower range of data. The distributions of TP in both groups appear similar in center, width and shape.</w:t>
      </w:r>
      <w:bookmarkEnd w:id="15"/>
    </w:p>
    <w:p>
      <w:pPr>
        <w:pStyle w:val="Heading2"/>
        <w:rPr/>
      </w:pPr>
      <w:bookmarkStart w:id="16" w:name="__RefHeading___Toc1242_1602370052"/>
      <w:bookmarkStart w:id="17" w:name="inferential-analysis"/>
      <w:bookmarkEnd w:id="16"/>
      <w:r>
        <w:rPr/>
        <w:t>Inferential analysis</w:t>
      </w:r>
    </w:p>
    <w:p>
      <w:pPr>
        <w:pStyle w:val="FirstParagraph"/>
        <w:rPr/>
      </w:pPr>
      <w:r>
        <w:rPr/>
        <w:t>The difference in outcome changes for both interventions can be seen in Table 2. The average (SD) change in CAL was -3.60 (1.51) mm in the Gel 40 group and -3.70 (1.83) mm in the Gen-Os group (p=0.895). This translates to a standardized mean difference of d = -0.06 (95% CI: -0.94 to 0.82).</w:t>
      </w:r>
    </w:p>
    <w:p>
      <w:pPr>
        <w:pStyle w:val="TextBody"/>
        <w:rPr/>
      </w:pPr>
      <w:r>
        <w:rPr/>
        <w:t>The standardized effect of treatment in change in REC was d = 0.33 (95% CI: -0.55 to 1.2), for PD it was d = -0.29 (95% CI: -1.2 to 0.59) and d = -0.38 (95% CI: -1.3 to 0.51) in TP (Table 2).</w:t>
      </w:r>
    </w:p>
    <w:p>
      <w:pPr>
        <w:pStyle w:val="TableCaption"/>
        <w:keepNext w:val="true"/>
        <w:pBdr/>
        <w:spacing w:lineRule="exact" w:line="240" w:before="60" w:after="60"/>
        <w:ind w:left="60" w:right="60" w:hanging="0"/>
        <w:jc w:val="left"/>
        <w:rPr/>
      </w:pPr>
      <w:r>
        <w:rPr>
          <w:b/>
          <w:bCs/>
        </w:rPr>
        <w:t>Table 2</w:t>
      </w:r>
      <w:r>
        <w:rPr/>
        <w:t xml:space="preserve"> Effect of the Gel 40 intervention in the average change of CAL, REC, PD and TP in mm.</w:t>
      </w:r>
    </w:p>
    <w:tbl>
      <w:tblPr>
        <w:tblW w:w="6963" w:type="dxa"/>
        <w:jc w:val="center"/>
        <w:tblInd w:w="0" w:type="dxa"/>
        <w:tblLayout w:type="fixed"/>
        <w:tblCellMar>
          <w:top w:w="0" w:type="dxa"/>
          <w:left w:w="0" w:type="dxa"/>
          <w:bottom w:w="0" w:type="dxa"/>
          <w:right w:w="0" w:type="dxa"/>
        </w:tblCellMar>
        <w:tblLook w:noHBand="0" w:noVBand="1" w:firstColumn="0" w:lastRow="0" w:lastColumn="0" w:firstRow="1"/>
      </w:tblPr>
      <w:tblGrid>
        <w:gridCol w:w="2136"/>
        <w:gridCol w:w="1333"/>
        <w:gridCol w:w="1255"/>
        <w:gridCol w:w="435"/>
        <w:gridCol w:w="1054"/>
        <w:gridCol w:w="750"/>
      </w:tblGrid>
      <w:tr>
        <w:trPr>
          <w:tblHeader w:val="true"/>
          <w:trHeight w:val="624" w:hRule="atLeast"/>
        </w:trPr>
        <w:tc>
          <w:tcPr>
            <w:tcW w:w="2136"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left"/>
              <w:rPr/>
            </w:pPr>
            <w:r>
              <w:rPr>
                <w:rFonts w:eastAsia="DejaVu Sans" w:cs="DejaVu Sans" w:ascii="DejaVu Sans" w:hAnsi="DejaVu Sans"/>
                <w:b/>
                <w:i w:val="false"/>
                <w:color w:val="000000"/>
                <w:sz w:val="16"/>
                <w:szCs w:val="16"/>
                <w:u w:val="none"/>
              </w:rPr>
              <w:t>Characteristic</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Gen-Os</w:t>
            </w:r>
            <w:r>
              <w:rPr>
                <w:rFonts w:eastAsia="DejaVu Sans" w:cs="DejaVu Sans" w:ascii="DejaVu Sans" w:hAnsi="DejaVu Sans"/>
                <w:b w:val="false"/>
                <w:i w:val="false"/>
                <w:color w:val="000000"/>
                <w:sz w:val="16"/>
                <w:szCs w:val="16"/>
                <w:u w:val="none"/>
              </w:rPr>
              <w:t>, N = 10</w:t>
            </w:r>
          </w:p>
        </w:tc>
        <w:tc>
          <w:tcPr>
            <w:tcW w:w="1255"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Gel 40</w:t>
            </w:r>
            <w:r>
              <w:rPr>
                <w:rFonts w:eastAsia="DejaVu Sans" w:cs="DejaVu Sans" w:ascii="DejaVu Sans" w:hAnsi="DejaVu Sans"/>
                <w:b w:val="false"/>
                <w:i w:val="false"/>
                <w:color w:val="000000"/>
                <w:sz w:val="16"/>
                <w:szCs w:val="16"/>
                <w:u w:val="none"/>
              </w:rPr>
              <w:t>, N = 10</w:t>
            </w:r>
          </w:p>
        </w:tc>
        <w:tc>
          <w:tcPr>
            <w:tcW w:w="435"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d</w:t>
            </w:r>
            <w:r>
              <w:rPr>
                <w:rFonts w:eastAsia="DejaVu Sans" w:cs="DejaVu Sans" w:ascii="DejaVu Sans" w:hAnsi="DejaVu Sans"/>
                <w:b w:val="false"/>
                <w:i w:val="false"/>
                <w:color w:val="000000"/>
                <w:sz w:val="16"/>
                <w:szCs w:val="16"/>
                <w:u w:val="none"/>
                <w:vertAlign w:val="superscript"/>
              </w:rPr>
              <w:t>1</w:t>
            </w:r>
          </w:p>
        </w:tc>
        <w:tc>
          <w:tcPr>
            <w:tcW w:w="1054"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95% CI</w:t>
            </w:r>
            <w:r>
              <w:rPr>
                <w:rFonts w:eastAsia="DejaVu Sans" w:cs="DejaVu Sans" w:ascii="DejaVu Sans" w:hAnsi="DejaVu Sans"/>
                <w:b w:val="false"/>
                <w:i w:val="false"/>
                <w:color w:val="000000"/>
                <w:sz w:val="16"/>
                <w:szCs w:val="16"/>
                <w:u w:val="none"/>
                <w:vertAlign w:val="superscript"/>
              </w:rPr>
              <w:t>12</w:t>
            </w:r>
          </w:p>
        </w:tc>
        <w:tc>
          <w:tcPr>
            <w:tcW w:w="750" w:type="dxa"/>
            <w:tcBorders>
              <w:top w:val="single" w:sz="8" w:space="0" w:color="000000"/>
              <w:bottom w:val="single" w:sz="8" w:space="0" w:color="000000"/>
            </w:tcBorders>
            <w:shd w:color="auto" w:fill="FFFFFF" w:val="clear"/>
            <w:vAlign w:val="center"/>
          </w:tcPr>
          <w:p>
            <w:pPr>
              <w:pStyle w:val="Normal"/>
              <w:widowControl w:val="false"/>
              <w:pBdr/>
              <w:spacing w:lineRule="auto" w:line="240" w:before="0" w:after="0"/>
              <w:ind w:left="0" w:right="0" w:hanging="0"/>
              <w:jc w:val="center"/>
              <w:rPr/>
            </w:pPr>
            <w:r>
              <w:rPr>
                <w:rFonts w:eastAsia="DejaVu Sans" w:cs="DejaVu Sans" w:ascii="DejaVu Sans" w:hAnsi="DejaVu Sans"/>
                <w:b/>
                <w:i w:val="false"/>
                <w:color w:val="000000"/>
                <w:sz w:val="16"/>
                <w:szCs w:val="16"/>
                <w:u w:val="none"/>
              </w:rPr>
              <w:t>p-value</w:t>
            </w:r>
            <w:r>
              <w:rPr>
                <w:rFonts w:eastAsia="DejaVu Sans" w:cs="DejaVu Sans" w:ascii="DejaVu Sans" w:hAnsi="DejaVu Sans"/>
                <w:b w:val="false"/>
                <w:i w:val="false"/>
                <w:color w:val="000000"/>
                <w:sz w:val="16"/>
                <w:szCs w:val="16"/>
                <w:u w:val="none"/>
                <w:vertAlign w:val="superscript"/>
              </w:rPr>
              <w:t>3</w:t>
            </w:r>
          </w:p>
        </w:tc>
      </w:tr>
      <w:tr>
        <w:trPr>
          <w:trHeight w:val="624" w:hRule="atLeast"/>
        </w:trPr>
        <w:tc>
          <w:tcPr>
            <w:tcW w:w="2136" w:type="dxa"/>
            <w:tcBorders>
              <w:top w:val="single" w:sz="8" w:space="0" w:color="000000"/>
            </w:tcBorders>
            <w:shd w:color="auto" w:fill="FFFFFF" w:val="clear"/>
          </w:tcPr>
          <w:p>
            <w:pPr>
              <w:pStyle w:val="Normal"/>
              <w:widowControl w:val="false"/>
              <w:pBdr/>
              <w:spacing w:lineRule="auto" w:line="240" w:before="0" w:after="0"/>
              <w:ind w:left="0" w:right="0" w:hanging="0"/>
              <w:jc w:val="left"/>
              <w:rPr/>
            </w:pPr>
            <w:r>
              <w:rPr>
                <w:rFonts w:eastAsia="DejaVu Sans" w:cs="DejaVu Sans" w:ascii="DejaVu Sans" w:hAnsi="DejaVu Sans"/>
                <w:b/>
                <w:i w:val="false"/>
                <w:color w:val="000000"/>
                <w:sz w:val="16"/>
                <w:szCs w:val="16"/>
                <w:u w:val="none"/>
              </w:rPr>
              <w:t>CAL change, Mean (SD)</w:t>
            </w:r>
          </w:p>
        </w:tc>
        <w:tc>
          <w:tcPr>
            <w:tcW w:w="1333" w:type="dxa"/>
            <w:tcBorders>
              <w:top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-3.70 (1.83)</w:t>
            </w:r>
          </w:p>
        </w:tc>
        <w:tc>
          <w:tcPr>
            <w:tcW w:w="1255" w:type="dxa"/>
            <w:tcBorders>
              <w:top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-3.60 (1.51)</w:t>
            </w:r>
          </w:p>
        </w:tc>
        <w:tc>
          <w:tcPr>
            <w:tcW w:w="435" w:type="dxa"/>
            <w:tcBorders>
              <w:top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-0.06</w:t>
            </w:r>
          </w:p>
        </w:tc>
        <w:tc>
          <w:tcPr>
            <w:tcW w:w="1054" w:type="dxa"/>
            <w:tcBorders>
              <w:top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-0.94 to 0.82</w:t>
            </w:r>
          </w:p>
        </w:tc>
        <w:tc>
          <w:tcPr>
            <w:tcW w:w="750" w:type="dxa"/>
            <w:tcBorders>
              <w:top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0.895</w:t>
            </w:r>
          </w:p>
        </w:tc>
      </w:tr>
      <w:tr>
        <w:trPr>
          <w:trHeight w:val="624" w:hRule="atLeast"/>
        </w:trPr>
        <w:tc>
          <w:tcPr>
            <w:tcW w:w="2136" w:type="dxa"/>
            <w:tcBorders/>
            <w:shd w:color="auto" w:fill="FFFFFF" w:val="clear"/>
          </w:tcPr>
          <w:p>
            <w:pPr>
              <w:pStyle w:val="Normal"/>
              <w:widowControl w:val="false"/>
              <w:pBdr/>
              <w:spacing w:lineRule="auto" w:line="240" w:before="0" w:after="0"/>
              <w:ind w:left="0" w:right="0" w:hanging="0"/>
              <w:jc w:val="left"/>
              <w:rPr/>
            </w:pPr>
            <w:r>
              <w:rPr>
                <w:rFonts w:eastAsia="DejaVu Sans" w:cs="DejaVu Sans" w:ascii="DejaVu Sans" w:hAnsi="DejaVu Sans"/>
                <w:b/>
                <w:i w:val="false"/>
                <w:color w:val="000000"/>
                <w:sz w:val="16"/>
                <w:szCs w:val="16"/>
                <w:u w:val="none"/>
              </w:rPr>
              <w:t>REC change, Mean (SD)</w:t>
            </w:r>
          </w:p>
        </w:tc>
        <w:tc>
          <w:tcPr>
            <w:tcW w:w="133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0.20 (0.79)</w:t>
            </w:r>
          </w:p>
        </w:tc>
        <w:tc>
          <w:tcPr>
            <w:tcW w:w="1255"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-0.10 (0.99)</w:t>
            </w:r>
          </w:p>
        </w:tc>
        <w:tc>
          <w:tcPr>
            <w:tcW w:w="435"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0.33</w:t>
            </w:r>
          </w:p>
        </w:tc>
        <w:tc>
          <w:tcPr>
            <w:tcW w:w="1054"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-0.55 to 1.2</w:t>
            </w:r>
          </w:p>
        </w:tc>
        <w:tc>
          <w:tcPr>
            <w:tcW w:w="750"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0.465</w:t>
            </w:r>
          </w:p>
        </w:tc>
      </w:tr>
      <w:tr>
        <w:trPr>
          <w:trHeight w:val="624" w:hRule="atLeast"/>
        </w:trPr>
        <w:tc>
          <w:tcPr>
            <w:tcW w:w="2136" w:type="dxa"/>
            <w:tcBorders/>
            <w:shd w:color="auto" w:fill="FFFFFF" w:val="clear"/>
          </w:tcPr>
          <w:p>
            <w:pPr>
              <w:pStyle w:val="Normal"/>
              <w:widowControl w:val="false"/>
              <w:pBdr/>
              <w:spacing w:lineRule="auto" w:line="240" w:before="0" w:after="0"/>
              <w:ind w:left="0" w:right="0" w:hanging="0"/>
              <w:jc w:val="left"/>
              <w:rPr/>
            </w:pPr>
            <w:r>
              <w:rPr>
                <w:rFonts w:eastAsia="DejaVu Sans" w:cs="DejaVu Sans" w:ascii="DejaVu Sans" w:hAnsi="DejaVu Sans"/>
                <w:b/>
                <w:i w:val="false"/>
                <w:color w:val="000000"/>
                <w:sz w:val="16"/>
                <w:szCs w:val="16"/>
                <w:u w:val="none"/>
              </w:rPr>
              <w:t>PD change, Mean (SD)</w:t>
            </w:r>
          </w:p>
        </w:tc>
        <w:tc>
          <w:tcPr>
            <w:tcW w:w="1333"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-3.90 (1.66)</w:t>
            </w:r>
          </w:p>
        </w:tc>
        <w:tc>
          <w:tcPr>
            <w:tcW w:w="1255"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-3.50 (0.97)</w:t>
            </w:r>
          </w:p>
        </w:tc>
        <w:tc>
          <w:tcPr>
            <w:tcW w:w="435"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-0.29</w:t>
            </w:r>
          </w:p>
        </w:tc>
        <w:tc>
          <w:tcPr>
            <w:tcW w:w="1054"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-1.2 to 0.59</w:t>
            </w:r>
          </w:p>
        </w:tc>
        <w:tc>
          <w:tcPr>
            <w:tcW w:w="750" w:type="dxa"/>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0.522</w:t>
            </w:r>
          </w:p>
        </w:tc>
      </w:tr>
      <w:tr>
        <w:trPr>
          <w:trHeight w:val="624" w:hRule="atLeast"/>
        </w:trPr>
        <w:tc>
          <w:tcPr>
            <w:tcW w:w="2136" w:type="dxa"/>
            <w:tcBorders>
              <w:bottom w:val="single" w:sz="8" w:space="0" w:color="000000"/>
            </w:tcBorders>
            <w:shd w:color="auto" w:fill="FFFFFF" w:val="clear"/>
          </w:tcPr>
          <w:p>
            <w:pPr>
              <w:pStyle w:val="Normal"/>
              <w:widowControl w:val="false"/>
              <w:pBdr/>
              <w:spacing w:lineRule="auto" w:line="240" w:before="0" w:after="0"/>
              <w:ind w:left="0" w:right="0" w:hanging="0"/>
              <w:jc w:val="left"/>
              <w:rPr/>
            </w:pPr>
            <w:r>
              <w:rPr>
                <w:rFonts w:eastAsia="DejaVu Sans" w:cs="DejaVu Sans" w:ascii="DejaVu Sans" w:hAnsi="DejaVu Sans"/>
                <w:b/>
                <w:i w:val="false"/>
                <w:color w:val="000000"/>
                <w:sz w:val="16"/>
                <w:szCs w:val="16"/>
                <w:u w:val="none"/>
              </w:rPr>
              <w:t>TP change, Mean (SD)</w:t>
            </w:r>
          </w:p>
        </w:tc>
        <w:tc>
          <w:tcPr>
            <w:tcW w:w="1333" w:type="dxa"/>
            <w:tcBorders>
              <w:bottom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-0.08 (1.08)</w:t>
            </w:r>
          </w:p>
        </w:tc>
        <w:tc>
          <w:tcPr>
            <w:tcW w:w="1255" w:type="dxa"/>
            <w:tcBorders>
              <w:bottom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0.32 (1.01)</w:t>
            </w:r>
          </w:p>
        </w:tc>
        <w:tc>
          <w:tcPr>
            <w:tcW w:w="435" w:type="dxa"/>
            <w:tcBorders>
              <w:bottom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-0.38</w:t>
            </w:r>
          </w:p>
        </w:tc>
        <w:tc>
          <w:tcPr>
            <w:tcW w:w="1054" w:type="dxa"/>
            <w:tcBorders>
              <w:bottom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-1.3 to 0.51</w:t>
            </w:r>
          </w:p>
        </w:tc>
        <w:tc>
          <w:tcPr>
            <w:tcW w:w="750" w:type="dxa"/>
            <w:tcBorders>
              <w:bottom w:val="single" w:sz="8" w:space="0" w:color="000000"/>
            </w:tcBorders>
            <w:shd w:color="auto" w:fill="FFFFFF" w:val="clear"/>
          </w:tcPr>
          <w:p>
            <w:pPr>
              <w:pStyle w:val="Normal"/>
              <w:widowControl w:val="false"/>
              <w:pBdr/>
              <w:spacing w:lineRule="auto" w:line="240" w:before="0" w:after="0"/>
              <w:ind w:left="0" w:right="0" w:hanging="0"/>
              <w:jc w:val="center"/>
              <w:rPr/>
            </w:pPr>
            <w:r>
              <w:rPr>
                <w:rFonts w:eastAsia="DejaVu Sans" w:cs="DejaVu Sans" w:ascii="DejaVu Sans" w:hAnsi="DejaVu Sans"/>
                <w:b w:val="false"/>
                <w:i w:val="false"/>
                <w:color w:val="000000"/>
                <w:sz w:val="16"/>
                <w:szCs w:val="16"/>
                <w:u w:val="none"/>
              </w:rPr>
              <w:t>0.404</w:t>
            </w:r>
          </w:p>
        </w:tc>
      </w:tr>
      <w:tr>
        <w:trPr>
          <w:trHeight w:val="360" w:hRule="atLeast"/>
        </w:trPr>
        <w:tc>
          <w:tcPr>
            <w:tcW w:w="6963" w:type="dxa"/>
            <w:gridSpan w:val="6"/>
            <w:tcBorders>
              <w:top w:val="single" w:sz="8" w:space="0" w:color="000000"/>
            </w:tcBorders>
            <w:shd w:color="auto" w:fill="FFFFFF" w:val="clear"/>
            <w:vAlign w:val="center"/>
          </w:tcPr>
          <w:p>
            <w:pPr>
              <w:pStyle w:val="Normal"/>
              <w:widowControl w:val="false"/>
              <w:pBdr/>
              <w:spacing w:lineRule="auto" w:line="240" w:before="0" w:after="0"/>
              <w:ind w:left="0" w:right="0" w:hanging="0"/>
              <w:jc w:val="left"/>
              <w:rPr/>
            </w:pPr>
            <w:r>
              <w:rPr>
                <w:rFonts w:eastAsia="DejaVu Sans" w:cs="DejaVu Sans" w:ascii="DejaVu Sans" w:hAnsi="DejaVu Sans"/>
                <w:b w:val="false"/>
                <w:i w:val="false"/>
                <w:color w:val="000000"/>
                <w:sz w:val="16"/>
                <w:szCs w:val="16"/>
                <w:u w:val="none"/>
                <w:vertAlign w:val="superscript"/>
              </w:rPr>
              <w:t>1</w:t>
            </w:r>
            <w:r>
              <w:rPr>
                <w:rFonts w:eastAsia="DejaVu Sans" w:cs="DejaVu Sans" w:ascii="DejaVu Sans" w:hAnsi="DejaVu Sans"/>
                <w:b w:val="false"/>
                <w:i w:val="false"/>
                <w:color w:val="000000"/>
                <w:sz w:val="16"/>
                <w:szCs w:val="16"/>
                <w:u w:val="none"/>
              </w:rPr>
              <w:t>Cohen's D</w:t>
            </w:r>
          </w:p>
        </w:tc>
      </w:tr>
      <w:tr>
        <w:trPr>
          <w:trHeight w:val="360" w:hRule="atLeast"/>
        </w:trPr>
        <w:tc>
          <w:tcPr>
            <w:tcW w:w="6963" w:type="dxa"/>
            <w:gridSpan w:val="6"/>
            <w:tcBorders/>
            <w:shd w:color="auto" w:fill="FFFFFF" w:val="clear"/>
            <w:vAlign w:val="center"/>
          </w:tcPr>
          <w:p>
            <w:pPr>
              <w:pStyle w:val="Normal"/>
              <w:widowControl w:val="false"/>
              <w:pBdr/>
              <w:spacing w:lineRule="auto" w:line="240" w:before="0" w:after="0"/>
              <w:ind w:left="0" w:right="0" w:hanging="0"/>
              <w:jc w:val="left"/>
              <w:rPr/>
            </w:pPr>
            <w:r>
              <w:rPr>
                <w:rFonts w:eastAsia="DejaVu Sans" w:cs="DejaVu Sans" w:ascii="DejaVu Sans" w:hAnsi="DejaVu Sans"/>
                <w:b w:val="false"/>
                <w:i w:val="false"/>
                <w:color w:val="000000"/>
                <w:sz w:val="16"/>
                <w:szCs w:val="16"/>
                <w:u w:val="none"/>
                <w:vertAlign w:val="superscript"/>
              </w:rPr>
              <w:t>2</w:t>
            </w:r>
            <w:r>
              <w:rPr>
                <w:rFonts w:eastAsia="DejaVu Sans" w:cs="DejaVu Sans" w:ascii="DejaVu Sans" w:hAnsi="DejaVu Sans"/>
                <w:b w:val="false"/>
                <w:i w:val="false"/>
                <w:color w:val="000000"/>
                <w:sz w:val="16"/>
                <w:szCs w:val="16"/>
                <w:u w:val="none"/>
              </w:rPr>
              <w:t>CI = Confidence Interval</w:t>
            </w:r>
          </w:p>
        </w:tc>
      </w:tr>
      <w:tr>
        <w:trPr>
          <w:trHeight w:val="360" w:hRule="atLeast"/>
        </w:trPr>
        <w:tc>
          <w:tcPr>
            <w:tcW w:w="6963" w:type="dxa"/>
            <w:gridSpan w:val="6"/>
            <w:tcBorders/>
            <w:shd w:color="auto" w:fill="FFFFFF" w:val="clear"/>
            <w:vAlign w:val="center"/>
          </w:tcPr>
          <w:p>
            <w:pPr>
              <w:pStyle w:val="Normal"/>
              <w:widowControl w:val="false"/>
              <w:pBdr/>
              <w:spacing w:lineRule="auto" w:line="240" w:before="0" w:after="0"/>
              <w:ind w:left="0" w:right="0" w:hanging="0"/>
              <w:jc w:val="left"/>
              <w:rPr/>
            </w:pPr>
            <w:r>
              <w:rPr>
                <w:rFonts w:eastAsia="DejaVu Sans" w:cs="DejaVu Sans" w:ascii="DejaVu Sans" w:hAnsi="DejaVu Sans"/>
                <w:b w:val="false"/>
                <w:i w:val="false"/>
                <w:color w:val="000000"/>
                <w:sz w:val="16"/>
                <w:szCs w:val="16"/>
                <w:u w:val="none"/>
                <w:vertAlign w:val="superscript"/>
              </w:rPr>
              <w:t>3</w:t>
            </w:r>
            <w:r>
              <w:rPr>
                <w:rFonts w:eastAsia="DejaVu Sans" w:cs="DejaVu Sans" w:ascii="DejaVu Sans" w:hAnsi="DejaVu Sans"/>
                <w:b w:val="false"/>
                <w:i w:val="false"/>
                <w:color w:val="000000"/>
                <w:sz w:val="16"/>
                <w:szCs w:val="16"/>
                <w:u w:val="none"/>
              </w:rPr>
              <w:t>Welch Two Sample t-test</w:t>
            </w:r>
          </w:p>
        </w:tc>
      </w:tr>
    </w:tbl>
    <w:p>
      <w:pPr>
        <w:pStyle w:val="TextBody"/>
        <w:rPr/>
      </w:pPr>
      <w:bookmarkStart w:id="18" w:name="results"/>
      <w:bookmarkStart w:id="19" w:name="inferential-analysis"/>
      <w:r>
        <w:rPr/>
        <w:t>The non-inferiority defined for this analysis was the lower range of the 95% CI being larger than d = 1.32. All outcomes meet this criteria, so the non-inferiority of Gel 40 is proven in this sample.</w:t>
      </w:r>
      <w:bookmarkEnd w:id="18"/>
      <w:bookmarkEnd w:id="19"/>
    </w:p>
    <w:p>
      <w:pPr>
        <w:pStyle w:val="Heading1"/>
        <w:rPr/>
      </w:pPr>
      <w:bookmarkStart w:id="20" w:name="__RefHeading___Toc1244_1602370052"/>
      <w:bookmarkStart w:id="21" w:name="observations-and-limitations"/>
      <w:bookmarkEnd w:id="20"/>
      <w:r>
        <w:rPr/>
        <w:t>Observations and Limitations</w:t>
      </w:r>
    </w:p>
    <w:p>
      <w:pPr>
        <w:pStyle w:val="FirstParagraph"/>
        <w:rPr/>
      </w:pPr>
      <w:r>
        <w:rPr>
          <w:b/>
          <w:bCs/>
        </w:rPr>
        <w:t>Small sample size</w:t>
      </w:r>
    </w:p>
    <w:p>
      <w:pPr>
        <w:pStyle w:val="TextBody"/>
        <w:rPr/>
      </w:pPr>
      <w:r>
        <w:rPr/>
        <w:t>The total sample size of this study is only 20 participants. Cohen considered an effect size of d = 0.8 to be large, which means that this sample size is only able to detect very large clinical effects at the 5% level of significance.</w:t>
      </w:r>
    </w:p>
    <w:p>
      <w:pPr>
        <w:pStyle w:val="TextBody"/>
        <w:rPr/>
      </w:pPr>
      <w:r>
        <w:rPr>
          <w:b/>
          <w:bCs/>
        </w:rPr>
        <w:t>Recommended reporting guideline</w:t>
      </w:r>
    </w:p>
    <w:p>
      <w:pPr>
        <w:pStyle w:val="TextBody"/>
        <w:rPr/>
      </w:pPr>
      <w:r>
        <w:rPr/>
        <w:t>The adoption of the EQUATOR network (</w:t>
      </w:r>
      <w:hyperlink r:id="rId3">
        <w:r>
          <w:rPr>
            <w:rStyle w:val="InternetLink"/>
          </w:rPr>
          <w:t>http://www.equator-network.org/</w:t>
        </w:r>
      </w:hyperlink>
      <w:r>
        <w:rPr/>
        <w:t>) reporting guidelines have seen increasing adoption by scientific journals. All clinical trials are recommended to be reported following the CONSORT guideline (Schulz K F, Altman D G, Moher D., 2010).</w:t>
      </w:r>
      <w:bookmarkEnd w:id="21"/>
    </w:p>
    <w:p>
      <w:pPr>
        <w:pStyle w:val="Heading1"/>
        <w:rPr/>
      </w:pPr>
      <w:bookmarkStart w:id="22" w:name="__RefHeading___Toc1246_1602370052"/>
      <w:bookmarkStart w:id="23" w:name="conclusions"/>
      <w:bookmarkEnd w:id="22"/>
      <w:r>
        <w:rPr/>
        <w:t>Conclusions</w:t>
      </w:r>
    </w:p>
    <w:p>
      <w:pPr>
        <w:pStyle w:val="FirstParagraph"/>
        <w:rPr/>
      </w:pPr>
      <w:r>
        <w:rPr/>
        <w:t>The lower limit of the CI for the effect size of CAL change was -0.94, and thus the Gel 40 is non-inferior to Gen-Os.</w:t>
      </w:r>
    </w:p>
    <w:p>
      <w:pPr>
        <w:pStyle w:val="TextBody"/>
        <w:rPr/>
      </w:pPr>
      <w:bookmarkStart w:id="24" w:name="conclusions"/>
      <w:r>
        <w:rPr/>
        <w:t>The lower limit of the CI for the effect size of REC, PD and TP change were (respectively) -0.55, -1.2 and -1.3 and thus the Gel 40 is non-inferior to Gen-Os for these outcomes.</w:t>
      </w:r>
      <w:bookmarkEnd w:id="24"/>
    </w:p>
    <w:p>
      <w:pPr>
        <w:pStyle w:val="Heading1"/>
        <w:rPr/>
      </w:pPr>
      <w:bookmarkStart w:id="25" w:name="__RefHeading___Toc1248_1602370052"/>
      <w:bookmarkStart w:id="26" w:name="references"/>
      <w:bookmarkEnd w:id="25"/>
      <w:r>
        <w:rPr/>
        <w:t>References</w:t>
      </w:r>
    </w:p>
    <w:p>
      <w:pPr>
        <w:pStyle w:val="Compact"/>
        <w:numPr>
          <w:ilvl w:val="0"/>
          <w:numId w:val="4"/>
        </w:numPr>
        <w:rPr/>
      </w:pPr>
      <w:r>
        <w:rPr>
          <w:b/>
          <w:bCs/>
        </w:rPr>
        <w:t>SAP-2023-010-TK-v01</w:t>
      </w:r>
      <w:r>
        <w:rPr/>
        <w:t xml:space="preserve"> – Analytical Plan for Non-inferiority of pre-hydrated collagenated xenogenic bone mix in periodontal intrabony defects: clinical trial</w:t>
      </w:r>
    </w:p>
    <w:p>
      <w:pPr>
        <w:pStyle w:val="Compact"/>
        <w:numPr>
          <w:ilvl w:val="0"/>
          <w:numId w:val="5"/>
        </w:numPr>
        <w:rPr/>
      </w:pPr>
      <w:r>
        <w:rPr/>
        <w:t>Schulz K F, Altman D G, Moher D. CONSORT 2010 Statement: updated guidelines for reporting parallel group randomised trials BMJ 2010; 340 :c332 (</w:t>
      </w:r>
      <w:hyperlink r:id="rId4">
        <w:r>
          <w:rPr>
            <w:rStyle w:val="InternetLink"/>
          </w:rPr>
          <w:t>https://doi.org/10.1136/bmj.c332</w:t>
        </w:r>
      </w:hyperlink>
      <w:r>
        <w:rPr/>
        <w:t>).</w:t>
      </w:r>
      <w:bookmarkEnd w:id="26"/>
    </w:p>
    <w:p>
      <w:pPr>
        <w:pStyle w:val="Heading1"/>
        <w:rPr/>
      </w:pPr>
      <w:bookmarkStart w:id="27" w:name="__RefHeading___Toc1250_1602370052"/>
      <w:bookmarkStart w:id="28" w:name="appendix"/>
      <w:bookmarkEnd w:id="27"/>
      <w:r>
        <w:rPr/>
        <w:t>Appendix</w:t>
      </w:r>
    </w:p>
    <w:p>
      <w:pPr>
        <w:pStyle w:val="Heading2"/>
        <w:rPr/>
      </w:pPr>
      <w:bookmarkStart w:id="29" w:name="__RefHeading___Toc1252_1602370052"/>
      <w:bookmarkStart w:id="30" w:name="exploratory-data-analysis"/>
      <w:bookmarkEnd w:id="29"/>
      <w:r>
        <w:rPr/>
        <w:t>Exploratory data analysis</w:t>
      </w:r>
    </w:p>
    <w:p>
      <w:pPr>
        <w:pStyle w:val="CaptionedFigure"/>
        <w:rPr/>
      </w:pPr>
      <w:r>
        <w:rPr/>
        <w:drawing>
          <wp:inline distT="0" distB="0" distL="0" distR="0">
            <wp:extent cx="4333240" cy="4333240"/>
            <wp:effectExtent l="0" t="0" r="0" b="0"/>
            <wp:docPr id="4" name="Image2" descr="Figure A1 Distribution of age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A1 Distribution of age in the study population."/>
                    <pic:cNvPicPr>
                      <a:picLocks noChangeAspect="1" noChangeArrowheads="1"/>
                    </pic:cNvPicPr>
                  </pic:nvPicPr>
                  <pic:blipFill>
                    <a:blip r:embed="rId5"/>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Distribution of age in the study population.</w:t>
      </w:r>
      <w:bookmarkEnd w:id="30"/>
    </w:p>
    <w:p>
      <w:pPr>
        <w:pStyle w:val="Heading2"/>
        <w:rPr/>
      </w:pPr>
      <w:bookmarkStart w:id="31" w:name="__RefHeading___Toc1254_1602370052"/>
      <w:bookmarkStart w:id="32" w:name="availability"/>
      <w:bookmarkEnd w:id="31"/>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6">
        <w:bookmarkStart w:id="33" w:name="availability"/>
        <w:r>
          <w:rPr>
            <w:rStyle w:val="InternetLink"/>
          </w:rPr>
          <w:t>https://philsf-biostat.github.io/SAR-2023-010-TK/</w:t>
        </w:r>
      </w:hyperlink>
      <w:bookmarkEnd w:id="33"/>
    </w:p>
    <w:p>
      <w:pPr>
        <w:pStyle w:val="Heading2"/>
        <w:keepLines/>
        <w:widowControl/>
        <w:numPr>
          <w:ilvl w:val="0"/>
          <w:numId w:val="0"/>
        </w:numPr>
        <w:suppressAutoHyphens w:val="true"/>
        <w:jc w:val="left"/>
        <w:rPr/>
      </w:pPr>
      <w:r>
        <w:rPr/>
      </w:r>
      <w:r>
        <w:br w:type="page"/>
      </w:r>
    </w:p>
    <w:p>
      <w:pPr>
        <w:pStyle w:val="Heading2"/>
        <w:rPr/>
      </w:pPr>
      <w:bookmarkStart w:id="34" w:name="__RefHeading___Toc1256_1602370052"/>
      <w:bookmarkStart w:id="35" w:name="analytical-dataset"/>
      <w:bookmarkEnd w:id="34"/>
      <w:r>
        <w:rPr/>
        <w:t>Analytical dataset</w:t>
      </w:r>
    </w:p>
    <w:p>
      <w:pPr>
        <w:pStyle w:val="FirstParagraph"/>
        <w:rPr/>
      </w:pPr>
      <w:r>
        <w:rPr/>
        <w:t>Table A1 shows the structure of the analytical dataset.</w:t>
      </w:r>
    </w:p>
    <w:p>
      <w:pPr>
        <w:pStyle w:val="TableCaption"/>
        <w:rPr/>
      </w:pPr>
      <w:r>
        <w:rPr>
          <w:b/>
          <w:bCs/>
        </w:rPr>
        <w:t>Table A1</w:t>
      </w:r>
      <w:r>
        <w:rPr/>
        <w:t xml:space="preserve"> Analytical dataset structure</w:t>
      </w:r>
    </w:p>
    <w:tbl>
      <w:tblPr>
        <w:tblStyle w:val="Table"/>
        <w:tblW w:w="9635"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1"/>
        <w:gridCol w:w="952"/>
        <w:gridCol w:w="765"/>
        <w:gridCol w:w="484"/>
        <w:gridCol w:w="671"/>
        <w:gridCol w:w="484"/>
        <w:gridCol w:w="484"/>
        <w:gridCol w:w="484"/>
        <w:gridCol w:w="484"/>
        <w:gridCol w:w="578"/>
        <w:gridCol w:w="578"/>
        <w:gridCol w:w="578"/>
        <w:gridCol w:w="578"/>
        <w:gridCol w:w="858"/>
        <w:gridCol w:w="391"/>
        <w:gridCol w:w="391"/>
        <w:gridCol w:w="484"/>
      </w:tblGrid>
      <w:tr>
        <w:trPr/>
        <w:tc>
          <w:tcPr>
            <w:tcW w:w="3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id</w:t>
            </w:r>
          </w:p>
        </w:tc>
        <w:tc>
          <w:tcPr>
            <w:tcW w:w="9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exposure</w:t>
            </w:r>
          </w:p>
        </w:tc>
        <w:tc>
          <w:tcPr>
            <w:tcW w:w="76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gender</w:t>
            </w:r>
          </w:p>
        </w:tc>
        <w:tc>
          <w:tcPr>
            <w:tcW w:w="4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age</w:t>
            </w:r>
          </w:p>
        </w:tc>
        <w:tc>
          <w:tcPr>
            <w:tcW w:w="6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tooth</w:t>
            </w:r>
          </w:p>
        </w:tc>
        <w:tc>
          <w:tcPr>
            <w:tcW w:w="4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pd0</w:t>
            </w:r>
          </w:p>
        </w:tc>
        <w:tc>
          <w:tcPr>
            <w:tcW w:w="4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pd2</w:t>
            </w:r>
          </w:p>
        </w:tc>
        <w:tc>
          <w:tcPr>
            <w:tcW w:w="4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tp0</w:t>
            </w:r>
          </w:p>
        </w:tc>
        <w:tc>
          <w:tcPr>
            <w:tcW w:w="4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tp2</w:t>
            </w:r>
          </w:p>
        </w:tc>
        <w:tc>
          <w:tcPr>
            <w:tcW w:w="5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rec0</w:t>
            </w:r>
          </w:p>
        </w:tc>
        <w:tc>
          <w:tcPr>
            <w:tcW w:w="5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rec2</w:t>
            </w:r>
          </w:p>
        </w:tc>
        <w:tc>
          <w:tcPr>
            <w:tcW w:w="5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cal0</w:t>
            </w:r>
          </w:p>
        </w:tc>
        <w:tc>
          <w:tcPr>
            <w:tcW w:w="5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cal2</w:t>
            </w:r>
          </w:p>
        </w:tc>
        <w:tc>
          <w:tcPr>
            <w:tcW w:w="85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outcome</w:t>
            </w:r>
          </w:p>
        </w:tc>
        <w:tc>
          <w:tcPr>
            <w:tcW w:w="3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pd</w:t>
            </w:r>
          </w:p>
        </w:tc>
        <w:tc>
          <w:tcPr>
            <w:tcW w:w="3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tp</w:t>
            </w:r>
          </w:p>
        </w:tc>
        <w:tc>
          <w:tcPr>
            <w:tcW w:w="48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rec</w:t>
            </w:r>
          </w:p>
        </w:tc>
      </w:tr>
      <w:tr>
        <w:trPr/>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1</w:t>
            </w:r>
          </w:p>
        </w:tc>
        <w:tc>
          <w:tcPr>
            <w:tcW w:w="9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6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85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2</w:t>
            </w:r>
          </w:p>
        </w:tc>
        <w:tc>
          <w:tcPr>
            <w:tcW w:w="9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6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85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3</w:t>
            </w:r>
          </w:p>
        </w:tc>
        <w:tc>
          <w:tcPr>
            <w:tcW w:w="9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6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85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w:t>
            </w:r>
          </w:p>
        </w:tc>
        <w:tc>
          <w:tcPr>
            <w:tcW w:w="9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6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85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N</w:t>
            </w:r>
          </w:p>
        </w:tc>
        <w:tc>
          <w:tcPr>
            <w:tcW w:w="9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6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85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9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bl>
    <w:p>
      <w:pPr>
        <w:pStyle w:val="TextBody"/>
        <w:spacing w:before="180" w:after="180"/>
        <w:rPr/>
      </w:pPr>
      <w:bookmarkStart w:id="36" w:name="appendix"/>
      <w:bookmarkStart w:id="37" w:name="analytical-dataset"/>
      <w:r>
        <w:rPr/>
        <w:t>Due to confidentiality the data-set used in this analysis cannot be shared online in the public version of this report.</w:t>
      </w:r>
      <w:bookmarkEnd w:id="36"/>
      <w:bookmarkEnd w:id="37"/>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DejaVu Sans">
    <w:charset w:val="01"/>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9</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9</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5"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 w:numId="5">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equator-network.org/" TargetMode="External"/><Relationship Id="rId4" Type="http://schemas.openxmlformats.org/officeDocument/2006/relationships/hyperlink" Target="https://doi.org/10.1136/bmj.c332" TargetMode="External"/><Relationship Id="rId5" Type="http://schemas.openxmlformats.org/officeDocument/2006/relationships/image" Target="media/image2.png"/><Relationship Id="rId6" Type="http://schemas.openxmlformats.org/officeDocument/2006/relationships/hyperlink" Target="https://philsf-biostat.github.io/SAR-2023-010-T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LibreOffice/7.5.1.2$Linux_X86_64 LibreOffice_project/50$Build-2</Application>
  <AppVersion>15.0000</AppVersion>
  <Pages>9</Pages>
  <Words>1109</Words>
  <Characters>5512</Characters>
  <CharactersWithSpaces>6457</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2023-03-08T17:09:00Z</dcterms:created>
  <dc:creator>From: Felipe Figueiredo To: Tom Kobe</dc:creator>
  <dc:description/>
  <dc:language>pt-BR</dc:language>
  <cp:lastModifiedBy/>
  <dcterms:modified xsi:type="dcterms:W3CDTF">2023-03-08T14:19:10Z</dcterms:modified>
  <cp:revision>4</cp:revision>
  <dc:subject/>
  <dc:title>Non-inferiority of pre-hydrated collagenated xenogenic bone mix in periodontal intrabony defects: clinical trial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2023-03-08</vt:lpwstr>
  </property>
  <property fmtid="{D5CDD505-2E9C-101B-9397-08002B2CF9AE}" pid="3" name="output">
    <vt:lpwstr/>
  </property>
  <property fmtid="{D5CDD505-2E9C-101B-9397-08002B2CF9AE}" pid="4" name="subtitle">
    <vt:lpwstr>DOCUMENT: SAR-2023-010-TK-v01</vt:lpwstr>
  </property>
</Properties>
</file>