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Time-adjusted effect of socioeconomic status in mortality rates after brain injury: cohort study</w:t>
      </w:r>
    </w:p>
    <w:p>
      <w:pPr>
        <w:pStyle w:val="Subtitle"/>
        <w:rPr/>
      </w:pPr>
      <w:r>
        <w:rPr/>
        <w:t>DOCUMENT: SAR-2023-016-BH-v01</w:t>
      </w:r>
    </w:p>
    <w:p>
      <w:pPr>
        <w:pStyle w:val="Author"/>
        <w:rPr/>
      </w:pPr>
      <w:r>
        <w:rPr>
          <w:b/>
          <w:bCs/>
        </w:rPr>
        <w:t>From:</w:t>
      </w:r>
      <w:r>
        <w:rPr/>
        <w:t xml:space="preserve"> Felipe Figueiredo </w:t>
      </w:r>
      <w:r>
        <w:rPr>
          <w:b/>
          <w:bCs/>
        </w:rPr>
        <w:t>To:</w:t>
      </w:r>
      <w:r>
        <w:rPr/>
        <w:t xml:space="preserve"> Brennan Hickson</w:t>
      </w:r>
    </w:p>
    <w:p>
      <w:pPr>
        <w:pStyle w:val="Date"/>
        <w:rPr/>
      </w:pPr>
      <w:r>
        <w:rPr/>
        <w:t>2023-09-29</w:t>
      </w:r>
    </w:p>
    <w:sdt>
      <w:sdtPr>
        <w:docPartObj>
          <w:docPartGallery w:val="Table of Contents"/>
          <w:docPartUnique w:val="true"/>
        </w:docPartObj>
      </w:sdtPr>
      <w:sdtContent>
        <w:p>
          <w:pPr>
            <w:pStyle w:val="TOCHeading"/>
            <w:ind w:hanging="0" w:left="0"/>
            <w:rPr/>
          </w:pPr>
          <w:r>
            <w:rPr/>
            <w:t>Table of Contents</w:t>
          </w:r>
        </w:p>
        <w:p>
          <w:pPr>
            <w:pStyle w:val="Normal"/>
            <w:rPr/>
          </w:pPr>
          <w:r>
            <w:fldChar w:fldCharType="begin"/>
          </w:r>
          <w:r>
            <w:rPr/>
            <w:instrText xml:space="preserve"> TOC \z \o "1-3" \u \h</w:instrText>
          </w:r>
          <w:r>
            <w:rPr/>
            <w:fldChar w:fldCharType="separate"/>
          </w:r>
          <w:r>
            <w:rPr/>
          </w:r>
          <w:r>
            <w:rPr/>
            <w:fldChar w:fldCharType="end"/>
          </w:r>
        </w:p>
      </w:sdtContent>
    </w:sdt>
    <w:p>
      <w:pPr>
        <w:pStyle w:val="Normal"/>
        <w:rPr/>
      </w:pPr>
      <w:r>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sdt>
      <w:sdtPr>
        <w:docPartObj>
          <w:docPartGallery w:val="Table of Contents"/>
          <w:docPartUnique w:val="true"/>
        </w:docPartObj>
      </w:sdtPr>
      <w:sdtContent>
        <w:p>
          <w:pPr>
            <w:pStyle w:val="TOCHeading"/>
            <w:numPr>
              <w:ilvl w:val="0"/>
              <w:numId w:val="0"/>
            </w:numPr>
            <w:spacing w:lineRule="auto" w:line="259" w:before="240" w:after="0"/>
            <w:ind w:hanging="0" w:left="0"/>
            <w:jc w:val="center"/>
            <w:rPr>
              <w:rFonts w:ascii="Ubuntu" w:hAnsi="Ubuntu" w:eastAsia="" w:cs="" w:cstheme="majorBidi" w:eastAsiaTheme="majorEastAsia"/>
              <w:b/>
              <w:bCs w:val="false"/>
              <w:color w:val="000000"/>
              <w:sz w:val="32"/>
            </w:rPr>
          </w:pPr>
          <w:r>
            <w:rPr>
              <w:rFonts w:eastAsia="" w:cs="" w:cstheme="majorBidi" w:eastAsiaTheme="majorEastAsia"/>
              <w:b/>
              <w:bCs w:val="false"/>
              <w:color w:val="000000"/>
              <w:sz w:val="32"/>
            </w:rPr>
            <w:t>Table of Contents</w:t>
          </w:r>
        </w:p>
        <w:p>
          <w:pPr>
            <w:pStyle w:val="TOC1"/>
            <w:tabs>
              <w:tab w:val="clear" w:pos="9360"/>
              <w:tab w:val="right" w:pos="9638" w:leader="dot"/>
            </w:tabs>
            <w:rPr/>
          </w:pPr>
          <w:r>
            <w:fldChar w:fldCharType="begin"/>
          </w:r>
          <w:r>
            <w:rPr>
              <w:rStyle w:val="IndexLink"/>
            </w:rPr>
            <w:instrText xml:space="preserve"> TOC \f \o "1-3" \h</w:instrText>
          </w:r>
          <w:r>
            <w:rPr>
              <w:rStyle w:val="IndexLink"/>
            </w:rPr>
            <w:fldChar w:fldCharType="separate"/>
          </w:r>
          <w:hyperlink w:anchor="__RefHeading___Toc7888_1018527687">
            <w:r>
              <w:rPr>
                <w:rStyle w:val="IndexLink"/>
              </w:rPr>
              <w:t xml:space="preserve"> </w:t>
            </w:r>
            <w:r>
              <w:rPr>
                <w:rStyle w:val="IndexLink"/>
              </w:rPr>
              <w:t>1 Abbreviations</w:t>
              <w:tab/>
              <w:t>2</w:t>
            </w:r>
          </w:hyperlink>
        </w:p>
        <w:p>
          <w:pPr>
            <w:pStyle w:val="TOC1"/>
            <w:tabs>
              <w:tab w:val="clear" w:pos="9360"/>
              <w:tab w:val="right" w:pos="9638" w:leader="dot"/>
            </w:tabs>
            <w:rPr/>
          </w:pPr>
          <w:hyperlink w:anchor="__RefHeading___Toc7890_1018527687">
            <w:r>
              <w:rPr>
                <w:rStyle w:val="IndexLink"/>
              </w:rPr>
              <w:t xml:space="preserve"> </w:t>
            </w:r>
            <w:r>
              <w:rPr>
                <w:rStyle w:val="IndexLink"/>
              </w:rPr>
              <w:t>2 Context</w:t>
              <w:tab/>
              <w:t>2</w:t>
            </w:r>
          </w:hyperlink>
        </w:p>
        <w:p>
          <w:pPr>
            <w:pStyle w:val="TOC2"/>
            <w:tabs>
              <w:tab w:val="clear" w:pos="9077"/>
              <w:tab w:val="right" w:pos="9638" w:leader="dot"/>
            </w:tabs>
            <w:rPr/>
          </w:pPr>
          <w:hyperlink w:anchor="__RefHeading___Toc7892_1018527687">
            <w:r>
              <w:rPr>
                <w:rStyle w:val="IndexLink"/>
              </w:rPr>
              <w:t xml:space="preserve"> </w:t>
            </w:r>
            <w:r>
              <w:rPr>
                <w:rStyle w:val="IndexLink"/>
              </w:rPr>
              <w:t>2.1 Objectives</w:t>
              <w:tab/>
              <w:t>2</w:t>
            </w:r>
          </w:hyperlink>
        </w:p>
        <w:p>
          <w:pPr>
            <w:pStyle w:val="TOC1"/>
            <w:tabs>
              <w:tab w:val="clear" w:pos="9360"/>
              <w:tab w:val="right" w:pos="9638" w:leader="dot"/>
            </w:tabs>
            <w:rPr/>
          </w:pPr>
          <w:hyperlink w:anchor="__RefHeading___Toc7894_1018527687">
            <w:r>
              <w:rPr>
                <w:rStyle w:val="IndexLink"/>
              </w:rPr>
              <w:t xml:space="preserve"> </w:t>
            </w:r>
            <w:r>
              <w:rPr>
                <w:rStyle w:val="IndexLink"/>
              </w:rPr>
              <w:t>3 Methods</w:t>
              <w:tab/>
              <w:t>2</w:t>
            </w:r>
          </w:hyperlink>
        </w:p>
        <w:p>
          <w:pPr>
            <w:pStyle w:val="TOC1"/>
            <w:tabs>
              <w:tab w:val="clear" w:pos="9360"/>
              <w:tab w:val="right" w:pos="9638" w:leader="dot"/>
            </w:tabs>
            <w:rPr/>
          </w:pPr>
          <w:hyperlink w:anchor="__RefHeading___Toc7896_1018527687">
            <w:r>
              <w:rPr>
                <w:rStyle w:val="IndexLink"/>
              </w:rPr>
              <w:t xml:space="preserve"> </w:t>
            </w:r>
            <w:r>
              <w:rPr>
                <w:rStyle w:val="IndexLink"/>
              </w:rPr>
              <w:t>4 Results</w:t>
              <w:tab/>
              <w:t>2</w:t>
            </w:r>
          </w:hyperlink>
        </w:p>
        <w:p>
          <w:pPr>
            <w:pStyle w:val="TOC2"/>
            <w:tabs>
              <w:tab w:val="clear" w:pos="9077"/>
              <w:tab w:val="right" w:pos="9638" w:leader="dot"/>
            </w:tabs>
            <w:rPr/>
          </w:pPr>
          <w:hyperlink w:anchor="__RefHeading___Toc7898_1018527687">
            <w:r>
              <w:rPr>
                <w:rStyle w:val="IndexLink"/>
              </w:rPr>
              <w:t xml:space="preserve"> </w:t>
            </w:r>
            <w:r>
              <w:rPr>
                <w:rStyle w:val="IndexLink"/>
              </w:rPr>
              <w:t>4.1 Study population and follow up</w:t>
              <w:tab/>
              <w:t>2</w:t>
            </w:r>
          </w:hyperlink>
        </w:p>
        <w:p>
          <w:pPr>
            <w:pStyle w:val="TOC2"/>
            <w:tabs>
              <w:tab w:val="clear" w:pos="9077"/>
              <w:tab w:val="right" w:pos="9638" w:leader="dot"/>
            </w:tabs>
            <w:rPr/>
          </w:pPr>
          <w:hyperlink w:anchor="__RefHeading___Toc7900_1018527687">
            <w:r>
              <w:rPr>
                <w:rStyle w:val="IndexLink"/>
              </w:rPr>
              <w:t xml:space="preserve"> </w:t>
            </w:r>
            <w:r>
              <w:rPr>
                <w:rStyle w:val="IndexLink"/>
              </w:rPr>
              <w:t>4.2 Time-adjusted effect of SES on mortality</w:t>
              <w:tab/>
              <w:t>8</w:t>
            </w:r>
          </w:hyperlink>
        </w:p>
        <w:p>
          <w:pPr>
            <w:pStyle w:val="TOC1"/>
            <w:tabs>
              <w:tab w:val="clear" w:pos="9360"/>
              <w:tab w:val="right" w:pos="9638" w:leader="dot"/>
            </w:tabs>
            <w:rPr/>
          </w:pPr>
          <w:hyperlink w:anchor="__RefHeading___Toc7902_1018527687">
            <w:r>
              <w:rPr>
                <w:rStyle w:val="IndexLink"/>
              </w:rPr>
              <w:t xml:space="preserve"> </w:t>
            </w:r>
            <w:r>
              <w:rPr>
                <w:rStyle w:val="IndexLink"/>
              </w:rPr>
              <w:t>5 Observations and Limitations</w:t>
              <w:tab/>
              <w:t>12</w:t>
            </w:r>
          </w:hyperlink>
        </w:p>
        <w:p>
          <w:pPr>
            <w:pStyle w:val="TOC1"/>
            <w:tabs>
              <w:tab w:val="clear" w:pos="9360"/>
              <w:tab w:val="right" w:pos="9638" w:leader="dot"/>
            </w:tabs>
            <w:rPr/>
          </w:pPr>
          <w:hyperlink w:anchor="__RefHeading___Toc7904_1018527687">
            <w:r>
              <w:rPr>
                <w:rStyle w:val="IndexLink"/>
              </w:rPr>
              <w:t xml:space="preserve"> </w:t>
            </w:r>
            <w:r>
              <w:rPr>
                <w:rStyle w:val="IndexLink"/>
              </w:rPr>
              <w:t>6 Conclusions</w:t>
              <w:tab/>
              <w:t>12</w:t>
            </w:r>
          </w:hyperlink>
        </w:p>
        <w:p>
          <w:pPr>
            <w:pStyle w:val="TOC1"/>
            <w:tabs>
              <w:tab w:val="clear" w:pos="9360"/>
              <w:tab w:val="right" w:pos="9638" w:leader="dot"/>
            </w:tabs>
            <w:rPr/>
          </w:pPr>
          <w:hyperlink w:anchor="__RefHeading___Toc7906_1018527687">
            <w:r>
              <w:rPr>
                <w:rStyle w:val="IndexLink"/>
              </w:rPr>
              <w:t xml:space="preserve"> </w:t>
            </w:r>
            <w:r>
              <w:rPr>
                <w:rStyle w:val="IndexLink"/>
              </w:rPr>
              <w:t>7 References</w:t>
              <w:tab/>
              <w:t>12</w:t>
            </w:r>
          </w:hyperlink>
        </w:p>
        <w:p>
          <w:pPr>
            <w:pStyle w:val="TOC1"/>
            <w:tabs>
              <w:tab w:val="clear" w:pos="9360"/>
              <w:tab w:val="right" w:pos="9638" w:leader="dot"/>
            </w:tabs>
            <w:rPr/>
          </w:pPr>
          <w:hyperlink w:anchor="__RefHeading___Toc7908_1018527687">
            <w:r>
              <w:rPr>
                <w:rStyle w:val="IndexLink"/>
              </w:rPr>
              <w:t xml:space="preserve"> </w:t>
            </w:r>
            <w:r>
              <w:rPr>
                <w:rStyle w:val="IndexLink"/>
              </w:rPr>
              <w:t>8 Appendix</w:t>
              <w:tab/>
              <w:t>13</w:t>
            </w:r>
          </w:hyperlink>
        </w:p>
        <w:p>
          <w:pPr>
            <w:pStyle w:val="TOC2"/>
            <w:tabs>
              <w:tab w:val="clear" w:pos="9077"/>
              <w:tab w:val="right" w:pos="9638" w:leader="dot"/>
            </w:tabs>
            <w:rPr/>
          </w:pPr>
          <w:hyperlink w:anchor="__RefHeading___Toc7910_1018527687">
            <w:r>
              <w:rPr>
                <w:rStyle w:val="IndexLink"/>
              </w:rPr>
              <w:t xml:space="preserve"> </w:t>
            </w:r>
            <w:r>
              <w:rPr>
                <w:rStyle w:val="IndexLink"/>
              </w:rPr>
              <w:t>8.1 Exploratory data analysis</w:t>
              <w:tab/>
              <w:t>13</w:t>
            </w:r>
          </w:hyperlink>
        </w:p>
        <w:p>
          <w:pPr>
            <w:pStyle w:val="TOC2"/>
            <w:tabs>
              <w:tab w:val="clear" w:pos="9077"/>
              <w:tab w:val="right" w:pos="9638" w:leader="dot"/>
            </w:tabs>
            <w:rPr/>
          </w:pPr>
          <w:hyperlink w:anchor="__RefHeading___Toc7912_1018527687">
            <w:r>
              <w:rPr>
                <w:rStyle w:val="IndexLink"/>
              </w:rPr>
              <w:t xml:space="preserve"> </w:t>
            </w:r>
            <w:r>
              <w:rPr>
                <w:rStyle w:val="IndexLink"/>
              </w:rPr>
              <w:t>8.2 Modeling strategy</w:t>
              <w:tab/>
              <w:t>15</w:t>
            </w:r>
          </w:hyperlink>
        </w:p>
        <w:p>
          <w:pPr>
            <w:pStyle w:val="TOC3"/>
            <w:tabs>
              <w:tab w:val="clear" w:pos="8794"/>
              <w:tab w:val="right" w:pos="9638" w:leader="dot"/>
            </w:tabs>
            <w:rPr/>
          </w:pPr>
          <w:hyperlink w:anchor="__RefHeading___Toc7914_1018527687">
            <w:r>
              <w:rPr>
                <w:rStyle w:val="IndexLink"/>
              </w:rPr>
              <w:t xml:space="preserve"> </w:t>
            </w:r>
            <w:r>
              <w:rPr>
                <w:rStyle w:val="IndexLink"/>
              </w:rPr>
              <w:t>8.2.1 Approaches to control for time-dependent covariates</w:t>
              <w:tab/>
              <w:t>15</w:t>
            </w:r>
          </w:hyperlink>
        </w:p>
        <w:p>
          <w:pPr>
            <w:pStyle w:val="TOC3"/>
            <w:tabs>
              <w:tab w:val="clear" w:pos="8794"/>
              <w:tab w:val="right" w:pos="9638" w:leader="dot"/>
            </w:tabs>
            <w:rPr/>
          </w:pPr>
          <w:hyperlink w:anchor="__RefHeading___Toc7916_1018527687">
            <w:r>
              <w:rPr>
                <w:rStyle w:val="IndexLink"/>
              </w:rPr>
              <w:t xml:space="preserve"> </w:t>
            </w:r>
            <w:r>
              <w:rPr>
                <w:rStyle w:val="IndexLink"/>
              </w:rPr>
              <w:t>8.2.2 After location/SES imputation</w:t>
              <w:tab/>
              <w:t>23</w:t>
            </w:r>
          </w:hyperlink>
        </w:p>
        <w:p>
          <w:pPr>
            <w:pStyle w:val="TOC3"/>
            <w:tabs>
              <w:tab w:val="clear" w:pos="8794"/>
              <w:tab w:val="right" w:pos="9638" w:leader="dot"/>
            </w:tabs>
            <w:rPr/>
          </w:pPr>
          <w:hyperlink w:anchor="__RefHeading___Toc7918_1018527687">
            <w:r>
              <w:rPr>
                <w:rStyle w:val="IndexLink"/>
              </w:rPr>
              <w:t xml:space="preserve"> </w:t>
            </w:r>
            <w:r>
              <w:rPr>
                <w:rStyle w:val="IndexLink"/>
              </w:rPr>
              <w:t>8.2.3 Final model specification</w:t>
              <w:tab/>
              <w:t>23</w:t>
            </w:r>
          </w:hyperlink>
        </w:p>
        <w:p>
          <w:pPr>
            <w:pStyle w:val="TOC2"/>
            <w:tabs>
              <w:tab w:val="clear" w:pos="9077"/>
              <w:tab w:val="right" w:pos="9638" w:leader="dot"/>
            </w:tabs>
            <w:rPr/>
          </w:pPr>
          <w:hyperlink w:anchor="__RefHeading___Toc7920_1018527687">
            <w:r>
              <w:rPr>
                <w:rStyle w:val="IndexLink"/>
              </w:rPr>
              <w:t xml:space="preserve"> </w:t>
            </w:r>
            <w:r>
              <w:rPr>
                <w:rStyle w:val="IndexLink"/>
              </w:rPr>
              <w:t>8.3 Availability</w:t>
              <w:tab/>
              <w:t>27</w:t>
            </w:r>
          </w:hyperlink>
        </w:p>
        <w:p>
          <w:pPr>
            <w:pStyle w:val="TOC2"/>
            <w:tabs>
              <w:tab w:val="clear" w:pos="9077"/>
              <w:tab w:val="right" w:pos="9638" w:leader="dot"/>
            </w:tabs>
            <w:rPr/>
          </w:pPr>
          <w:hyperlink w:anchor="__RefHeading___Toc7922_1018527687">
            <w:r>
              <w:rPr>
                <w:rStyle w:val="IndexLink"/>
              </w:rPr>
              <w:t xml:space="preserve"> </w:t>
            </w:r>
            <w:r>
              <w:rPr>
                <w:rStyle w:val="IndexLink"/>
              </w:rPr>
              <w:t>8.4 Associated analyses</w:t>
              <w:tab/>
              <w:t>27</w:t>
            </w:r>
          </w:hyperlink>
        </w:p>
        <w:p>
          <w:pPr>
            <w:pStyle w:val="TOC2"/>
            <w:tabs>
              <w:tab w:val="clear" w:pos="9077"/>
              <w:tab w:val="right" w:pos="9638" w:leader="dot"/>
            </w:tabs>
            <w:rPr/>
          </w:pPr>
          <w:hyperlink w:anchor="__RefHeading___Toc7924_1018527687">
            <w:r>
              <w:rPr>
                <w:rStyle w:val="IndexLink"/>
              </w:rPr>
              <w:t xml:space="preserve"> </w:t>
            </w:r>
            <w:r>
              <w:rPr>
                <w:rStyle w:val="IndexLink"/>
              </w:rPr>
              <w:t>8.5 Analytical dataset</w:t>
              <w:tab/>
              <w:t>28</w:t>
            </w:r>
          </w:hyperlink>
          <w:r>
            <w:rPr>
              <w:rStyle w:val="IndexLink"/>
            </w:rPr>
            <w:fldChar w:fldCharType="end"/>
          </w:r>
        </w:p>
      </w:sdtContent>
    </w:sdt>
    <w:p>
      <w:pPr>
        <w:pStyle w:val="Normal"/>
        <w:widowControl/>
        <w:suppressAutoHyphens w:val="true"/>
        <w:bidi w:val="0"/>
        <w:spacing w:before="0" w:after="200"/>
        <w:jc w:val="left"/>
        <w:rPr>
          <w:rFonts w:ascii="Ubuntu" w:hAnsi="Ubuntu" w:eastAsia="Cambria" w:cs="" w:cstheme="minorBidi" w:eastAsiaTheme="minorHAnsi"/>
          <w:color w:val="auto"/>
          <w:kern w:val="0"/>
          <w:sz w:val="24"/>
          <w:szCs w:val="24"/>
          <w:lang w:val="en-US" w:eastAsia="en-US" w:bidi="ar-SA"/>
        </w:rPr>
      </w:pPr>
      <w:r>
        <w:rPr>
          <w:rFonts w:eastAsia="Cambria" w:cs="" w:cstheme="minorBidi" w:eastAsiaTheme="minorHAnsi"/>
          <w:color w:val="auto"/>
          <w:kern w:val="0"/>
          <w:sz w:val="24"/>
          <w:szCs w:val="24"/>
          <w:lang w:val="en-US" w:eastAsia="en-US" w:bidi="ar-SA"/>
        </w:rPr>
      </w:r>
      <w:r>
        <w:br w:type="page"/>
      </w:r>
    </w:p>
    <w:p>
      <w:pPr>
        <w:pStyle w:val="FirstParagraph"/>
        <w:spacing w:before="0" w:after="180"/>
        <w:rPr/>
      </w:pPr>
      <w:r>
        <w:rPr>
          <w:b/>
          <w:bCs/>
        </w:rPr>
        <w:t>Time-adjusted effect of socioeconomic status in mortality rates after brain injury: cohort study</w:t>
      </w:r>
    </w:p>
    <w:p>
      <w:pPr>
        <w:pStyle w:val="BodyText"/>
        <w:rPr/>
      </w:pPr>
      <w:r>
        <w:rPr>
          <w:b/>
          <w:bCs/>
        </w:rPr>
        <w:t>Document version</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3960"/>
        <w:gridCol w:w="3959"/>
      </w:tblGrid>
      <w:tr>
        <w:trPr/>
        <w:tc>
          <w:tcPr>
            <w:tcW w:w="396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Version</w:t>
            </w:r>
          </w:p>
        </w:tc>
        <w:tc>
          <w:tcPr>
            <w:tcW w:w="395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Alterations</w:t>
            </w:r>
          </w:p>
        </w:tc>
      </w:tr>
      <w:tr>
        <w:trPr/>
        <w:tc>
          <w:tcPr>
            <w:tcW w:w="396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01</w:t>
            </w:r>
          </w:p>
        </w:tc>
        <w:tc>
          <w:tcPr>
            <w:tcW w:w="3959"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Initial version</w:t>
            </w:r>
          </w:p>
        </w:tc>
      </w:tr>
    </w:tbl>
    <w:p>
      <w:pPr>
        <w:pStyle w:val="Normal"/>
        <w:rPr/>
      </w:pPr>
      <w:r>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pPr>
      <w:bookmarkStart w:id="0" w:name="__RefHeading___Toc7888_1018527687"/>
      <w:bookmarkEnd w:id="0"/>
      <w:r>
        <w:rPr/>
        <w:t>Abbreviations</w:t>
      </w:r>
    </w:p>
    <w:p>
      <w:pPr>
        <w:pStyle w:val="Compact"/>
        <w:numPr>
          <w:ilvl w:val="0"/>
          <w:numId w:val="2"/>
        </w:numPr>
        <w:rPr/>
      </w:pPr>
      <w:r>
        <w:rPr/>
        <w:t>FIM: Functional Independence Measure</w:t>
      </w:r>
    </w:p>
    <w:p>
      <w:pPr>
        <w:pStyle w:val="Compact"/>
        <w:numPr>
          <w:ilvl w:val="0"/>
          <w:numId w:val="2"/>
        </w:numPr>
        <w:rPr/>
      </w:pPr>
      <w:r>
        <w:rPr/>
        <w:t>HR: hazards ratio</w:t>
      </w:r>
    </w:p>
    <w:p>
      <w:pPr>
        <w:pStyle w:val="Compact"/>
        <w:numPr>
          <w:ilvl w:val="0"/>
          <w:numId w:val="2"/>
        </w:numPr>
        <w:rPr/>
      </w:pPr>
      <w:r>
        <w:rPr/>
        <w:t>SD: standard deviation</w:t>
      </w:r>
    </w:p>
    <w:p>
      <w:pPr>
        <w:pStyle w:val="Compact"/>
        <w:numPr>
          <w:ilvl w:val="0"/>
          <w:numId w:val="2"/>
        </w:numPr>
        <w:rPr/>
      </w:pPr>
      <w:bookmarkStart w:id="1" w:name="abbreviations"/>
      <w:r>
        <w:rPr/>
        <w:t>SES: socioeconomic status</w:t>
      </w:r>
      <w:bookmarkEnd w:id="1"/>
    </w:p>
    <w:p>
      <w:pPr>
        <w:pStyle w:val="Heading1"/>
        <w:rPr/>
      </w:pPr>
      <w:bookmarkStart w:id="2" w:name="__RefHeading___Toc7890_1018527687"/>
      <w:bookmarkEnd w:id="2"/>
      <w:r>
        <w:rPr/>
        <w:t>Context</w:t>
      </w:r>
    </w:p>
    <w:p>
      <w:pPr>
        <w:pStyle w:val="FirstParagraph"/>
        <w:rPr/>
      </w:pPr>
      <w:r>
        <w:rPr/>
        <w:t>This analysis expands on a previous analysis with a similar objective (</w:t>
      </w:r>
      <w:r>
        <w:rPr>
          <w:b/>
          <w:bCs/>
        </w:rPr>
        <w:t>SAR-2023-004-BH-v02</w:t>
      </w:r>
      <w:r>
        <w:rPr/>
        <w:t>), by employing more flexible modeling strategies to include time-dependent covariates that were dropped from the previous analysis. In the process the raw FIM scores were substituted by their quartiles.</w:t>
      </w:r>
    </w:p>
    <w:p>
      <w:pPr>
        <w:pStyle w:val="Heading2"/>
        <w:rPr/>
      </w:pPr>
      <w:bookmarkStart w:id="3" w:name="__RefHeading___Toc7892_1018527687"/>
      <w:bookmarkEnd w:id="3"/>
      <w:r>
        <w:rPr/>
        <w:t>Objectives</w:t>
      </w:r>
    </w:p>
    <w:p>
      <w:pPr>
        <w:pStyle w:val="FirstParagraph"/>
        <w:rPr/>
      </w:pPr>
      <w:bookmarkStart w:id="4" w:name="objectives"/>
      <w:bookmarkStart w:id="5" w:name="context"/>
      <w:r>
        <w:rPr/>
        <w:t>To determine the effect of socioeconomic status of the neighborhood on mortality of patients with brain injury, accounting for time-dependent covariates.</w:t>
      </w:r>
      <w:bookmarkEnd w:id="4"/>
      <w:bookmarkEnd w:id="5"/>
    </w:p>
    <w:p>
      <w:pPr>
        <w:pStyle w:val="Heading1"/>
        <w:rPr/>
      </w:pPr>
      <w:bookmarkStart w:id="6" w:name="__RefHeading___Toc7894_1018527687"/>
      <w:bookmarkStart w:id="7" w:name="methods"/>
      <w:bookmarkEnd w:id="6"/>
      <w:r>
        <w:rPr/>
        <w:t>Methods</w:t>
      </w:r>
    </w:p>
    <w:p>
      <w:pPr>
        <w:pStyle w:val="FirstParagraph"/>
        <w:rPr/>
      </w:pPr>
      <w:r>
        <w:rPr/>
        <w:t xml:space="preserve">The data procedures, design and analysis methods used in this report are fully described in the annex document </w:t>
      </w:r>
      <w:r>
        <w:rPr>
          <w:b/>
          <w:bCs/>
        </w:rPr>
        <w:t>SAP-2023-016-BH-v01</w:t>
      </w:r>
      <w:r>
        <w:rPr/>
        <w:t>.</w:t>
      </w:r>
    </w:p>
    <w:p>
      <w:pPr>
        <w:pStyle w:val="BodyText"/>
        <w:rPr/>
      </w:pPr>
      <w:r>
        <w:rPr/>
        <w:t xml:space="preserve">This analysis was performed using statistical software </w:t>
      </w:r>
      <w:r>
        <w:rPr>
          <w:rStyle w:val="VerbatimChar"/>
        </w:rPr>
        <w:t>R</w:t>
      </w:r>
      <w:r>
        <w:rPr/>
        <w:t xml:space="preserve"> version 4.3.0.</w:t>
      </w:r>
      <w:bookmarkEnd w:id="7"/>
    </w:p>
    <w:p>
      <w:pPr>
        <w:pStyle w:val="Heading1"/>
        <w:rPr/>
      </w:pPr>
      <w:bookmarkStart w:id="8" w:name="__RefHeading___Toc7896_1018527687"/>
      <w:bookmarkEnd w:id="8"/>
      <w:r>
        <w:rPr/>
        <w:t>Results</w:t>
      </w:r>
    </w:p>
    <w:p>
      <w:pPr>
        <w:pStyle w:val="Heading2"/>
        <w:rPr/>
      </w:pPr>
      <w:bookmarkStart w:id="9" w:name="__RefHeading___Toc7898_1018527687"/>
      <w:bookmarkStart w:id="10" w:name="study-population-and-follow-up"/>
      <w:bookmarkEnd w:id="9"/>
      <w:r>
        <w:rPr/>
        <w:t>Study population and follow up</w:t>
      </w:r>
    </w:p>
    <w:p>
      <w:pPr>
        <w:pStyle w:val="FirstParagraph"/>
        <w:rPr/>
      </w:pPr>
      <w:r>
        <w:rPr/>
        <w:t>There initially were 76,665 observations on 19,303 study participants considered for inclusion. After excluding follow up measurements during the COVID-19 pandemic to mitigate confounding on mortality causes there were 69,440 observations left in the study sample. After applying the inclusion criteria for the study period between 2010-01-01 and 2018-12-31 and considering the status at the last available follow up time for each individual a total of 24,282 participants were included in the analysis.</w:t>
      </w:r>
    </w:p>
    <w:p>
      <w:pPr>
        <w:pStyle w:val="BodyText"/>
        <w:rPr/>
      </w:pPr>
      <w:r>
        <w:rPr/>
        <w:t xml:space="preserve">The epidemiological profile of the participant included in the study was a male participant (5,838 (73%)) with an average (SD) age of 45 (20) years.    </w:t>
      </w:r>
    </w:p>
    <w:p>
      <w:pPr>
        <w:pStyle w:val="BodyText"/>
        <w:rPr/>
      </w:pPr>
      <w:r>
        <w:rPr/>
        <w:t>Races were not homogeneously available in the study population with 5,256 (66%) individuals being white; 3,458 (43%) were single (never married) at the time of injury, and most participants were well educated with 3,574 (45%) at greater than high school level. A total of 4,711 (59%) were employed and 3,753 (48%) participants lived in an urban area.</w:t>
      </w:r>
    </w:p>
    <w:p>
      <w:pPr>
        <w:pStyle w:val="TableCaption"/>
        <w:keepNext w:val="true"/>
        <w:spacing w:lineRule="exact" w:line="240" w:before="60" w:after="60"/>
        <w:ind w:hanging="0" w:left="60" w:right="60"/>
        <w:jc w:val="center"/>
        <w:rPr/>
      </w:pPr>
      <w:r>
        <w:rPr/>
        <w:t>**Table 1** Epidemiological, demographic and clinical characteristics of study participants.</w:t>
      </w:r>
    </w:p>
    <w:tbl>
      <w:tblPr>
        <w:tblW w:w="5000" w:type="pct"/>
        <w:jc w:val="left"/>
        <w:tblInd w:w="0" w:type="dxa"/>
        <w:tblLayout w:type="fixed"/>
        <w:tblCellMar>
          <w:top w:w="0" w:type="dxa"/>
          <w:left w:w="0" w:type="dxa"/>
          <w:bottom w:w="0" w:type="dxa"/>
          <w:right w:w="0" w:type="dxa"/>
        </w:tblCellMar>
        <w:tblLook w:noHBand="0" w:noVBand="1" w:firstColumn="0" w:lastRow="0" w:lastColumn="0" w:firstRow="1"/>
      </w:tblPr>
      <w:tblGrid>
        <w:gridCol w:w="8388"/>
        <w:gridCol w:w="1249"/>
      </w:tblGrid>
      <w:tr>
        <w:trPr>
          <w:tblHeader w:val="true"/>
          <w:trHeight w:val="605" w:hRule="atLeast"/>
        </w:trPr>
        <w:tc>
          <w:tcPr>
            <w:tcW w:w="8388"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Characteristic</w:t>
            </w:r>
          </w:p>
        </w:tc>
        <w:tc>
          <w:tcPr>
            <w:tcW w:w="1249"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N = 7,979</w:t>
            </w:r>
          </w:p>
        </w:tc>
      </w:tr>
      <w:tr>
        <w:trPr>
          <w:trHeight w:val="624" w:hRule="atLeast"/>
        </w:trPr>
        <w:tc>
          <w:tcPr>
            <w:tcW w:w="8388" w:type="dxa"/>
            <w:tcBorders>
              <w:top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SES quintiles, n (%)</w:t>
            </w:r>
          </w:p>
        </w:tc>
        <w:tc>
          <w:tcPr>
            <w:tcW w:w="1249"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1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Prosperous</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1,428 (22%)</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Comfortable</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1,339 (20%)</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Mid-Tier</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1,237 (19%)</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At-Risk</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1,296 (20%)</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Distressed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1,291 (20%)</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1,388</w:t>
            </w:r>
          </w:p>
        </w:tc>
      </w:tr>
      <w:tr>
        <w:trPr>
          <w:trHeight w:val="607"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Sex:,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Male</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5,838 (73%)</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Female</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2,134 (27%)</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7</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What is your race?,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White</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5,256 (66%)</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Black</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1,241 (16%)</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Hispanic</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1,072 (13%)</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398 (5.0%)</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What is your marital status?,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Single (Never Married)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3,458 (43%)</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Married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2,748 (35%)</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Divorced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986 (12%)</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Separated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264 (3.3%)</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Widowed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485 (6.1%)</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 (0.2%)</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Age at Injury, Mean (SD)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45 (20)</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w:t>
            </w:r>
          </w:p>
        </w:tc>
      </w:tr>
      <w:tr>
        <w:trPr>
          <w:trHeight w:val="607"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Substance Problem Use, n (%)</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2,919 (38%)</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297</w:t>
            </w:r>
          </w:p>
        </w:tc>
      </w:tr>
      <w:tr>
        <w:trPr>
          <w:trHeight w:val="607"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Education,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Greater Than High School</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3,574 (45%)</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Less Than High School</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1,522 (19%)</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High School/GED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2,819 (36%)</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64</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At time of injury, what was your employment status?,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Employed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4,711 (59%)</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Unemployed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871 (11%)</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2,355 (30%)</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42</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Urbanization based on zip code of address at discharge.,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Suburban</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2,336 (30%)</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Rural</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1,742 (22%)</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Urban</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3,753 (48%)</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148</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Prior to this injury, has a physician ever told you that you have a seizure disorder?, n (%)</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59 (5.7%)</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6,935</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Spinal cord injury:, n (%)</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456 (5.7%)</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23</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Cause of injury:,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Vehicular</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3,593 (45%)</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Violence</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709 (8.9%)</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Falls</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2,715 (34%)</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937 (12%)</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25</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Primary rehabilitation payor:,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Private Insurance</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4,109 (52%)</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Public Insurance</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3,151 (40%)</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690 (8.7%)</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29</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Residence after rehab discharge:,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Private Residence</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6,298 (79%)</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1,649 (21%)</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32</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Days From Injury to Rehab Discharge, Mean (SD)</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46 (36)</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FIM Motor at Discharge quartiles,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Q1</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2,101 (27%)</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Q2</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2,016 (26%)</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Q3</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1,843 (23%)</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Q4</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1,897 (24%)</w:t>
            </w:r>
          </w:p>
        </w:tc>
      </w:tr>
      <w:tr>
        <w:trPr>
          <w:trHeight w:val="624"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122</w:t>
            </w:r>
          </w:p>
        </w:tc>
      </w:tr>
      <w:tr>
        <w:trPr>
          <w:trHeight w:val="624" w:hRule="atLeast"/>
        </w:trPr>
        <w:tc>
          <w:tcPr>
            <w:tcW w:w="838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FIM Cognitive at Discharge quartiles, n (%)</w:t>
            </w:r>
          </w:p>
        </w:tc>
        <w:tc>
          <w:tcPr>
            <w:tcW w:w="12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Q1</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2,085 (26%)</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Q2</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2,028 (26%)</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Q3</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1,948 (25%)</w:t>
            </w:r>
          </w:p>
        </w:tc>
      </w:tr>
      <w:tr>
        <w:trPr>
          <w:trHeight w:val="607" w:hRule="atLeast"/>
        </w:trPr>
        <w:tc>
          <w:tcPr>
            <w:tcW w:w="8388"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Q4</w:t>
            </w:r>
          </w:p>
        </w:tc>
        <w:tc>
          <w:tcPr>
            <w:tcW w:w="12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1,875 (24%)</w:t>
            </w:r>
          </w:p>
        </w:tc>
      </w:tr>
      <w:tr>
        <w:trPr>
          <w:trHeight w:val="624" w:hRule="atLeast"/>
        </w:trPr>
        <w:tc>
          <w:tcPr>
            <w:tcW w:w="8388" w:type="dxa"/>
            <w:tcBorders>
              <w:bottom w:val="single" w:sz="8" w:space="0" w:color="000000"/>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1249"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43</w:t>
            </w:r>
          </w:p>
        </w:tc>
      </w:tr>
    </w:tbl>
    <w:p>
      <w:pPr>
        <w:pStyle w:val="BodyText"/>
        <w:rPr/>
      </w:pPr>
      <w:r>
        <w:rPr/>
        <w:t>The observed overall mortality was 13.5% in the study period. The distribution of cases appear homogeneous across SES quintiles (Figure 1), ranging from 10.6% to 13.5%. We will test the effect of SES quintiles on the hazard rate in the next section. See also Figure A2 in the appendix for the distribution of sexes in each SES quintile in the study population.</w:t>
      </w:r>
    </w:p>
    <w:p>
      <w:pPr>
        <w:pStyle w:val="CaptionedFigure"/>
        <w:rPr/>
      </w:pPr>
      <w:r>
        <w:rPr/>
        <w:drawing>
          <wp:inline distT="0" distB="0" distL="0" distR="0">
            <wp:extent cx="4333240" cy="4333240"/>
            <wp:effectExtent l="0" t="0" r="0" b="0"/>
            <wp:docPr id="3" name="Picture" descr="Figure 1 Proportion of cases per SES qui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 1 Proportion of cases per SES quintiles."/>
                    <pic:cNvPicPr>
                      <a:picLocks noChangeAspect="1" noChangeArrowheads="1"/>
                    </pic:cNvPicPr>
                  </pic:nvPicPr>
                  <pic:blipFill>
                    <a:blip r:embed="rId2"/>
                    <a:stretch>
                      <a:fillRect/>
                    </a:stretch>
                  </pic:blipFill>
                  <pic:spPr bwMode="auto">
                    <a:xfrm>
                      <a:off x="0" y="0"/>
                      <a:ext cx="4333240" cy="4333240"/>
                    </a:xfrm>
                    <a:prstGeom prst="rect">
                      <a:avLst/>
                    </a:prstGeom>
                  </pic:spPr>
                </pic:pic>
              </a:graphicData>
            </a:graphic>
          </wp:inline>
        </w:drawing>
      </w:r>
    </w:p>
    <w:p>
      <w:pPr>
        <w:pStyle w:val="ImageCaption"/>
        <w:rPr/>
      </w:pPr>
      <w:r>
        <w:rPr>
          <w:b/>
          <w:bCs/>
        </w:rPr>
        <w:t>Figure 1</w:t>
      </w:r>
      <w:r>
        <w:rPr/>
        <w:t xml:space="preserve"> Proportion of cases per SES quintiles.</w:t>
      </w:r>
      <w:bookmarkEnd w:id="10"/>
    </w:p>
    <w:p>
      <w:pPr>
        <w:pStyle w:val="Heading2"/>
        <w:rPr/>
      </w:pPr>
      <w:bookmarkStart w:id="11" w:name="__RefHeading___Toc7900_1018527687"/>
      <w:bookmarkEnd w:id="11"/>
      <w:r>
        <w:rPr/>
        <w:t>Time-adjusted effect of SES on mortality</w:t>
      </w:r>
    </w:p>
    <w:p>
      <w:pPr>
        <w:pStyle w:val="FirstParagraph"/>
        <w:rPr/>
      </w:pPr>
      <w:r>
        <w:rPr/>
        <w:t>The previous seizure disorder diagnosis was missing for most of the study population and was not included in the model as a covariate to preserve study power. After excluding participants with missing data from other variables a total of 19,013 complete cases were available for analysis. The Days From Injury to Rehab Discharge     was removed from the model due to violations of the proportional hazards assumption (see section 8.2 in the appendix).</w:t>
      </w:r>
    </w:p>
    <w:p>
      <w:pPr>
        <w:pStyle w:val="BodyText"/>
        <w:rPr/>
      </w:pPr>
      <w:r>
        <w:rPr/>
        <w:t>The survival curves of both sexes by SES quintiles can be seen in Figure 2. Overall, the distressed neighborhoods appear to have a lower survival probability then other neighborhoods. This appears to be true for both sexes, and males had a higher risk of dying than females in all neighborhoods. This plot was cropped at 50% survival for presentation purposes, see Figure A3 in the appendix for an uncropped version.</w:t>
      </w:r>
    </w:p>
    <w:p>
      <w:pPr>
        <w:pStyle w:val="CaptionedFigure"/>
        <w:rPr/>
      </w:pPr>
      <w:r>
        <w:rPr/>
        <w:drawing>
          <wp:inline distT="0" distB="0" distL="0" distR="0">
            <wp:extent cx="4333240" cy="4333240"/>
            <wp:effectExtent l="0" t="0" r="0" b="0"/>
            <wp:docPr id="4" name="Image2" descr="Figure 2 Survival of participants, by sex and by SES qui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Figure 2 Survival of participants, by sex and by SES quintiles."/>
                    <pic:cNvPicPr>
                      <a:picLocks noChangeAspect="1" noChangeArrowheads="1"/>
                    </pic:cNvPicPr>
                  </pic:nvPicPr>
                  <pic:blipFill>
                    <a:blip r:embed="rId3"/>
                    <a:stretch>
                      <a:fillRect/>
                    </a:stretch>
                  </pic:blipFill>
                  <pic:spPr bwMode="auto">
                    <a:xfrm>
                      <a:off x="0" y="0"/>
                      <a:ext cx="4333240" cy="4333240"/>
                    </a:xfrm>
                    <a:prstGeom prst="rect">
                      <a:avLst/>
                    </a:prstGeom>
                  </pic:spPr>
                </pic:pic>
              </a:graphicData>
            </a:graphic>
          </wp:inline>
        </w:drawing>
      </w:r>
    </w:p>
    <w:p>
      <w:pPr>
        <w:pStyle w:val="ImageCaption"/>
        <w:rPr/>
      </w:pPr>
      <w:r>
        <w:rPr>
          <w:b/>
          <w:bCs/>
        </w:rPr>
        <w:t>Figure 2</w:t>
      </w:r>
      <w:r>
        <w:rPr/>
        <w:t xml:space="preserve"> Survival of participants, by sex and by SES quintiles.</w:t>
      </w:r>
    </w:p>
    <w:p>
      <w:pPr>
        <w:pStyle w:val="BodyText"/>
        <w:rPr/>
      </w:pPr>
      <w:r>
        <w:rPr/>
        <w:t xml:space="preserve">When considering only the crude effect of SES on mortality neighborhood to which the individuals were discharged was associated with mortality (Table 2). </w:t>
      </w:r>
      <w:r>
        <w:rPr>
          <w:strike/>
        </w:rPr>
        <w:t>Participants who were discharged to an at-risk neighborhood had increased chance of dying (HR = 1.12, 95% CI = 0.89 to 1.42), when compared to those discharged to a prosperous neighborhood.</w:t>
      </w:r>
      <w:r>
        <w:rPr/>
        <w:t xml:space="preserve"> Participants discharged to a distressed neighborhood also had a higher mortality risk (HR = 1.33, 95% CI = 1.33 to 1.33), when compared to those discharged to a prosperous neighborhood.</w:t>
      </w:r>
    </w:p>
    <w:p>
      <w:pPr>
        <w:pStyle w:val="BodyText"/>
        <w:rPr/>
      </w:pPr>
      <w:r>
        <w:rPr/>
        <w:t>Notes:</w:t>
      </w:r>
    </w:p>
    <w:p>
      <w:pPr>
        <w:pStyle w:val="Compact"/>
        <w:numPr>
          <w:ilvl w:val="0"/>
          <w:numId w:val="27"/>
        </w:numPr>
        <w:rPr/>
      </w:pPr>
      <w:r>
        <w:rPr>
          <w:strike/>
        </w:rPr>
        <w:t>note drift of point estimates toward the null</w:t>
      </w:r>
    </w:p>
    <w:p>
      <w:pPr>
        <w:pStyle w:val="Compact"/>
        <w:numPr>
          <w:ilvl w:val="0"/>
          <w:numId w:val="28"/>
        </w:numPr>
        <w:rPr/>
      </w:pPr>
      <w:r>
        <w:rPr/>
        <w:t>note reliability of precision / CIs lengths don’t change much</w:t>
      </w:r>
    </w:p>
    <w:p>
      <w:pPr>
        <w:pStyle w:val="Compact"/>
        <w:numPr>
          <w:ilvl w:val="0"/>
          <w:numId w:val="29"/>
        </w:numPr>
        <w:rPr/>
      </w:pPr>
      <w:r>
        <w:rPr/>
        <w:t>possible evidence of confounding of the effect, after controlling for clinical + geo</w:t>
      </w:r>
    </w:p>
    <w:p>
      <w:pPr>
        <w:pStyle w:val="Compact"/>
        <w:numPr>
          <w:ilvl w:val="0"/>
          <w:numId w:val="30"/>
        </w:numPr>
        <w:rPr/>
      </w:pPr>
      <w:r>
        <w:rPr/>
        <w:t>multiple: time-varying exposure is associated with the outcome up to model 5</w:t>
      </w:r>
    </w:p>
    <w:p>
      <w:pPr>
        <w:pStyle w:val="Compact"/>
        <w:numPr>
          <w:ilvl w:val="0"/>
          <w:numId w:val="31"/>
        </w:numPr>
        <w:rPr/>
      </w:pPr>
      <w:r>
        <w:rPr/>
        <w:t>interaction: association with FIMMOTD, but not FIMCOGD</w:t>
      </w:r>
    </w:p>
    <w:p>
      <w:pPr>
        <w:pStyle w:val="Compact"/>
        <w:numPr>
          <w:ilvl w:val="0"/>
          <w:numId w:val="32"/>
        </w:numPr>
        <w:rPr/>
      </w:pPr>
      <w:r>
        <w:rPr/>
        <w:t>interaction: direct association is lost when considering interactions (is it pulling the effect?)</w:t>
      </w:r>
    </w:p>
    <w:p>
      <w:pPr>
        <w:pStyle w:val="TableCaption"/>
        <w:keepNext w:val="true"/>
        <w:spacing w:lineRule="exact" w:line="240" w:before="60" w:after="60"/>
        <w:ind w:hanging="0" w:left="60" w:right="60"/>
        <w:jc w:val="center"/>
        <w:rPr/>
      </w:pPr>
      <w:r>
        <w:rPr/>
        <w:t>**Table 2** Effect of SES on mortality; HR estimates were adjusted for sex, race, age, education, employment status, rehabilitation payer, spinal cord injury, substance abuse, FIM scores quartiles, residence after rehab discharge, urbanization and stratified by cause of injury.</w:t>
      </w:r>
    </w:p>
    <w:tbl>
      <w:tblPr>
        <w:tblW w:w="5000" w:type="pct"/>
        <w:jc w:val="left"/>
        <w:tblInd w:w="0" w:type="dxa"/>
        <w:tblLayout w:type="fixed"/>
        <w:tblCellMar>
          <w:top w:w="0" w:type="dxa"/>
          <w:left w:w="0" w:type="dxa"/>
          <w:bottom w:w="0" w:type="dxa"/>
          <w:right w:w="0" w:type="dxa"/>
        </w:tblCellMar>
        <w:tblLook w:noHBand="0" w:noVBand="1" w:firstColumn="0" w:lastRow="0" w:lastColumn="0" w:firstRow="1"/>
      </w:tblPr>
      <w:tblGrid>
        <w:gridCol w:w="3095"/>
        <w:gridCol w:w="965"/>
        <w:gridCol w:w="567"/>
        <w:gridCol w:w="567"/>
        <w:gridCol w:w="567"/>
        <w:gridCol w:w="567"/>
        <w:gridCol w:w="550"/>
        <w:gridCol w:w="370"/>
        <w:gridCol w:w="550"/>
        <w:gridCol w:w="371"/>
        <w:gridCol w:w="549"/>
        <w:gridCol w:w="370"/>
        <w:gridCol w:w="549"/>
      </w:tblGrid>
      <w:tr>
        <w:trPr>
          <w:tblHeader w:val="true"/>
          <w:trHeight w:val="581" w:hRule="atLeast"/>
        </w:trPr>
        <w:tc>
          <w:tcPr>
            <w:tcW w:w="3095" w:type="dxa"/>
            <w:tcBorders>
              <w:top w:val="single" w:sz="8" w:space="0" w:color="000000"/>
              <w:bottom w:val="single" w:sz="8" w:space="0" w:color="000000"/>
            </w:tcBorders>
            <w:shd w:color="auto" w:fill="FFFFFF" w:val="clear"/>
            <w:vAlign w:val="center"/>
          </w:tcPr>
          <w:p>
            <w:pPr>
              <w:pStyle w:val="Normal"/>
              <w:spacing w:lineRule="exact" w:line="240" w:before="0" w:after="0"/>
              <w:ind w:hanging="0" w:left="100" w:right="100"/>
              <w:jc w:val="left"/>
              <w:rPr>
                <w:rFonts w:eastAsia="DejaVu Sans" w:cs="DejaVu Sans"/>
                <w:b w:val="false"/>
                <w:i w:val="false"/>
                <w:i w:val="false"/>
                <w:color w:val="000000"/>
                <w:u w:val="none"/>
              </w:rPr>
            </w:pPr>
            <w:r>
              <w:rPr>
                <w:rFonts w:eastAsia="DejaVu Sans" w:cs="DejaVu Sans"/>
                <w:b w:val="false"/>
                <w:i w:val="false"/>
                <w:color w:val="000000"/>
                <w:u w:val="none"/>
              </w:rPr>
            </w:r>
          </w:p>
        </w:tc>
        <w:tc>
          <w:tcPr>
            <w:tcW w:w="965"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Crude estimate</w:t>
            </w:r>
          </w:p>
        </w:tc>
        <w:tc>
          <w:tcPr>
            <w:tcW w:w="56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2</w:t>
            </w:r>
          </w:p>
        </w:tc>
        <w:tc>
          <w:tcPr>
            <w:tcW w:w="56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3</w:t>
            </w:r>
          </w:p>
        </w:tc>
        <w:tc>
          <w:tcPr>
            <w:tcW w:w="56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4</w:t>
            </w:r>
          </w:p>
        </w:tc>
        <w:tc>
          <w:tcPr>
            <w:tcW w:w="56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5</w:t>
            </w:r>
          </w:p>
        </w:tc>
        <w:tc>
          <w:tcPr>
            <w:tcW w:w="3309" w:type="dxa"/>
            <w:gridSpan w:val="7"/>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6</w:t>
            </w:r>
          </w:p>
        </w:tc>
      </w:tr>
      <w:tr>
        <w:trPr>
          <w:tblHeader w:val="true"/>
          <w:trHeight w:val="624" w:hRule="atLeast"/>
        </w:trPr>
        <w:tc>
          <w:tcPr>
            <w:tcW w:w="3095"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Characteristic</w:t>
            </w:r>
          </w:p>
        </w:tc>
        <w:tc>
          <w:tcPr>
            <w:tcW w:w="965"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vertAlign w:val="superscript"/>
              </w:rPr>
              <w:t>1</w:t>
            </w:r>
          </w:p>
        </w:tc>
        <w:tc>
          <w:tcPr>
            <w:tcW w:w="56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p-value</w:t>
            </w:r>
          </w:p>
        </w:tc>
        <w:tc>
          <w:tcPr>
            <w:tcW w:w="56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vertAlign w:val="superscript"/>
              </w:rPr>
              <w:t>12</w:t>
            </w:r>
          </w:p>
        </w:tc>
        <w:tc>
          <w:tcPr>
            <w:tcW w:w="56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p-value</w:t>
            </w:r>
          </w:p>
        </w:tc>
        <w:tc>
          <w:tcPr>
            <w:tcW w:w="56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vertAlign w:val="superscript"/>
              </w:rPr>
              <w:t>13</w:t>
            </w:r>
          </w:p>
        </w:tc>
        <w:tc>
          <w:tcPr>
            <w:tcW w:w="550"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p-value</w:t>
            </w:r>
          </w:p>
        </w:tc>
        <w:tc>
          <w:tcPr>
            <w:tcW w:w="370"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vertAlign w:val="superscript"/>
              </w:rPr>
              <w:t>14</w:t>
            </w:r>
          </w:p>
        </w:tc>
        <w:tc>
          <w:tcPr>
            <w:tcW w:w="550"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p-value</w:t>
            </w:r>
          </w:p>
        </w:tc>
        <w:tc>
          <w:tcPr>
            <w:tcW w:w="371"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vertAlign w:val="superscript"/>
              </w:rPr>
              <w:t>15</w:t>
            </w:r>
          </w:p>
        </w:tc>
        <w:tc>
          <w:tcPr>
            <w:tcW w:w="549"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p-value</w:t>
            </w:r>
          </w:p>
        </w:tc>
        <w:tc>
          <w:tcPr>
            <w:tcW w:w="370"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vertAlign w:val="superscript"/>
              </w:rPr>
              <w:t>16</w:t>
            </w:r>
          </w:p>
        </w:tc>
        <w:tc>
          <w:tcPr>
            <w:tcW w:w="549"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p-value</w:t>
            </w:r>
          </w:p>
        </w:tc>
      </w:tr>
      <w:tr>
        <w:trPr>
          <w:trHeight w:val="624" w:hRule="atLeast"/>
        </w:trPr>
        <w:tc>
          <w:tcPr>
            <w:tcW w:w="3095" w:type="dxa"/>
            <w:tcBorders>
              <w:top w:val="single" w:sz="8" w:space="0" w:color="000000"/>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w:t>
            </w:r>
          </w:p>
        </w:tc>
        <w:tc>
          <w:tcPr>
            <w:tcW w:w="965"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17"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Prosperous</w:t>
            </w:r>
          </w:p>
        </w:tc>
        <w:tc>
          <w:tcPr>
            <w:tcW w:w="96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w:t>
            </w:r>
          </w:p>
        </w:tc>
        <w:tc>
          <w:tcPr>
            <w:tcW w:w="96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1.13</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0.291</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1.08</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0.521</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w:t>
            </w:r>
          </w:p>
        </w:tc>
        <w:tc>
          <w:tcPr>
            <w:tcW w:w="55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0.578</w:t>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w:t>
            </w:r>
          </w:p>
        </w:tc>
        <w:tc>
          <w:tcPr>
            <w:tcW w:w="55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0.566</w:t>
            </w:r>
          </w:p>
        </w:tc>
        <w:tc>
          <w:tcPr>
            <w:tcW w:w="37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1.06</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0.623</w:t>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1.11</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0.661</w:t>
            </w:r>
          </w:p>
        </w:tc>
      </w:tr>
      <w:tr>
        <w:trPr>
          <w:trHeight w:val="581"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w:t>
            </w:r>
          </w:p>
        </w:tc>
        <w:tc>
          <w:tcPr>
            <w:tcW w:w="96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0.420</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1.20</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0.156</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w:t>
            </w:r>
          </w:p>
        </w:tc>
        <w:tc>
          <w:tcPr>
            <w:tcW w:w="55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0.203</w:t>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w:t>
            </w:r>
          </w:p>
        </w:tc>
        <w:tc>
          <w:tcPr>
            <w:tcW w:w="55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0.202</w:t>
            </w:r>
          </w:p>
        </w:tc>
        <w:tc>
          <w:tcPr>
            <w:tcW w:w="37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0.207</w:t>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0.86</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0.584</w:t>
            </w:r>
          </w:p>
        </w:tc>
      </w:tr>
      <w:tr>
        <w:trPr>
          <w:trHeight w:val="581"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w:t>
            </w:r>
          </w:p>
        </w:tc>
        <w:tc>
          <w:tcPr>
            <w:tcW w:w="96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1.12</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0.337</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0.177</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1.15</w:t>
            </w:r>
          </w:p>
        </w:tc>
        <w:tc>
          <w:tcPr>
            <w:tcW w:w="55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0.254</w:t>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1.15</w:t>
            </w:r>
          </w:p>
        </w:tc>
        <w:tc>
          <w:tcPr>
            <w:tcW w:w="55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0.279</w:t>
            </w:r>
          </w:p>
        </w:tc>
        <w:tc>
          <w:tcPr>
            <w:tcW w:w="37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1.11</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0.400</w:t>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0.86</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0.561</w:t>
            </w:r>
          </w:p>
        </w:tc>
      </w:tr>
      <w:tr>
        <w:trPr>
          <w:trHeight w:val="581"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w:t>
            </w:r>
          </w:p>
        </w:tc>
        <w:tc>
          <w:tcPr>
            <w:tcW w:w="96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1.33</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0.014</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1.44</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0.005</w:t>
            </w:r>
          </w:p>
        </w:tc>
        <w:tc>
          <w:tcPr>
            <w:tcW w:w="56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1.40</w:t>
            </w:r>
          </w:p>
        </w:tc>
        <w:tc>
          <w:tcPr>
            <w:tcW w:w="55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0.008</w:t>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1.41</w:t>
            </w:r>
          </w:p>
        </w:tc>
        <w:tc>
          <w:tcPr>
            <w:tcW w:w="55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0.007</w:t>
            </w:r>
          </w:p>
        </w:tc>
        <w:tc>
          <w:tcPr>
            <w:tcW w:w="37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1.33</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0.027</w:t>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1.39</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0.168</w:t>
            </w:r>
          </w:p>
        </w:tc>
      </w:tr>
      <w:tr>
        <w:trPr>
          <w:trHeight w:val="624" w:hRule="atLeast"/>
        </w:trPr>
        <w:tc>
          <w:tcPr>
            <w:tcW w:w="3095"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 FIM Motor at Discharge quartiles</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Q2</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1.86</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0.042</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Q2</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0.636</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Q2</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1.31</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0.383</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Q2</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0.804</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Q3</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1.09</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0.812</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Q3</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1.02</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0.954</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Q3</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0.97</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0.928</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Q3</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0.96</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0.921</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Q4</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2.05</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0.131</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Q4</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2.00</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0.151</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Q4</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2.38</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0.040</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Q4</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2.73</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0.019</w:t>
            </w:r>
          </w:p>
        </w:tc>
      </w:tr>
      <w:tr>
        <w:trPr>
          <w:trHeight w:val="624" w:hRule="atLeast"/>
        </w:trPr>
        <w:tc>
          <w:tcPr>
            <w:tcW w:w="3095"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 FIM Cognitive at Discharge quartiles</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Q2</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0.57</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0.085</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Q2</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1.26</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0.536</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Q2</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0.82</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0.554</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Q2</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0.59</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0.103</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Q3</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0.74</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0.408</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Q3</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1.77</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0.147</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Q3</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1.48</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0.263</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Q3</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0.80</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0.521</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Q4</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0.60</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0.174</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Q4</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0.85</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0.704</w:t>
            </w:r>
          </w:p>
        </w:tc>
      </w:tr>
      <w:tr>
        <w:trPr>
          <w:trHeight w:val="606" w:hRule="atLeast"/>
        </w:trPr>
        <w:tc>
          <w:tcPr>
            <w:tcW w:w="3095"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Q4</w:t>
            </w:r>
          </w:p>
        </w:tc>
        <w:tc>
          <w:tcPr>
            <w:tcW w:w="96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1.57</w:t>
            </w:r>
          </w:p>
        </w:tc>
        <w:tc>
          <w:tcPr>
            <w:tcW w:w="54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0.237</w:t>
            </w:r>
          </w:p>
        </w:tc>
      </w:tr>
      <w:tr>
        <w:trPr>
          <w:trHeight w:val="606" w:hRule="atLeast"/>
        </w:trPr>
        <w:tc>
          <w:tcPr>
            <w:tcW w:w="3095" w:type="dxa"/>
            <w:tcBorders>
              <w:bottom w:val="single" w:sz="8" w:space="0" w:color="000000"/>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Q4</w:t>
            </w:r>
          </w:p>
        </w:tc>
        <w:tc>
          <w:tcPr>
            <w:tcW w:w="965"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67"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50"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1"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549"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370"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w:t>
            </w:r>
          </w:p>
        </w:tc>
        <w:tc>
          <w:tcPr>
            <w:tcW w:w="549"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0.801</w:t>
            </w:r>
          </w:p>
        </w:tc>
      </w:tr>
      <w:tr>
        <w:trPr>
          <w:trHeight w:val="360" w:hRule="atLeast"/>
        </w:trPr>
        <w:tc>
          <w:tcPr>
            <w:tcW w:w="9637" w:type="dxa"/>
            <w:gridSpan w:val="13"/>
            <w:tcBorders>
              <w:top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1</w:t>
            </w:r>
            <w:r>
              <w:rPr>
                <w:rFonts w:eastAsia="DejaVu Sans" w:cs="DejaVu Sans"/>
                <w:b w:val="false"/>
                <w:i w:val="false"/>
                <w:color w:val="000000"/>
                <w:sz w:val="12"/>
                <w:szCs w:val="12"/>
                <w:u w:val="none"/>
              </w:rPr>
              <w:t>HR = Hazard Ratio</w:t>
            </w:r>
          </w:p>
        </w:tc>
      </w:tr>
      <w:tr>
        <w:trPr>
          <w:trHeight w:val="360" w:hRule="atLeast"/>
        </w:trPr>
        <w:tc>
          <w:tcPr>
            <w:tcW w:w="9637" w:type="dxa"/>
            <w:gridSpan w:val="13"/>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2</w:t>
            </w:r>
            <w:r>
              <w:rPr>
                <w:rFonts w:eastAsia="DejaVu Sans" w:cs="DejaVu Sans"/>
                <w:b w:val="false"/>
                <w:i w:val="false"/>
                <w:color w:val="000000"/>
                <w:sz w:val="12"/>
                <w:szCs w:val="12"/>
                <w:u w:val="none"/>
              </w:rPr>
              <w:t>Adjusted by demographic variables</w:t>
            </w:r>
          </w:p>
        </w:tc>
      </w:tr>
      <w:tr>
        <w:trPr>
          <w:trHeight w:val="360" w:hRule="atLeast"/>
        </w:trPr>
        <w:tc>
          <w:tcPr>
            <w:tcW w:w="9637" w:type="dxa"/>
            <w:gridSpan w:val="13"/>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3</w:t>
            </w:r>
            <w:r>
              <w:rPr>
                <w:rFonts w:eastAsia="DejaVu Sans" w:cs="DejaVu Sans"/>
                <w:b w:val="false"/>
                <w:i w:val="false"/>
                <w:color w:val="000000"/>
                <w:sz w:val="12"/>
                <w:szCs w:val="12"/>
                <w:u w:val="none"/>
              </w:rPr>
              <w:t>Adjusted by demographic + geographical variables</w:t>
            </w:r>
          </w:p>
        </w:tc>
      </w:tr>
      <w:tr>
        <w:trPr>
          <w:trHeight w:val="360" w:hRule="atLeast"/>
        </w:trPr>
        <w:tc>
          <w:tcPr>
            <w:tcW w:w="9637" w:type="dxa"/>
            <w:gridSpan w:val="13"/>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4</w:t>
            </w:r>
            <w:r>
              <w:rPr>
                <w:rFonts w:eastAsia="DejaVu Sans" w:cs="DejaVu Sans"/>
                <w:b w:val="false"/>
                <w:i w:val="false"/>
                <w:color w:val="000000"/>
                <w:sz w:val="12"/>
                <w:szCs w:val="12"/>
                <w:u w:val="none"/>
              </w:rPr>
              <w:t>Adjusted by demographic + geographical + clinical variables</w:t>
            </w:r>
          </w:p>
        </w:tc>
      </w:tr>
      <w:tr>
        <w:trPr>
          <w:trHeight w:val="360" w:hRule="atLeast"/>
        </w:trPr>
        <w:tc>
          <w:tcPr>
            <w:tcW w:w="9637" w:type="dxa"/>
            <w:gridSpan w:val="13"/>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5</w:t>
            </w:r>
            <w:r>
              <w:rPr>
                <w:rFonts w:eastAsia="DejaVu Sans" w:cs="DejaVu Sans"/>
                <w:b w:val="false"/>
                <w:i w:val="false"/>
                <w:color w:val="000000"/>
                <w:sz w:val="12"/>
                <w:szCs w:val="12"/>
                <w:u w:val="none"/>
              </w:rPr>
              <w:t>Adjusted by demographic + geographical + clinical variables + FIM scores</w:t>
            </w:r>
          </w:p>
        </w:tc>
      </w:tr>
      <w:tr>
        <w:trPr>
          <w:trHeight w:val="360" w:hRule="atLeast"/>
        </w:trPr>
        <w:tc>
          <w:tcPr>
            <w:tcW w:w="9637" w:type="dxa"/>
            <w:gridSpan w:val="13"/>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6</w:t>
            </w:r>
            <w:r>
              <w:rPr>
                <w:rFonts w:eastAsia="DejaVu Sans" w:cs="DejaVu Sans"/>
                <w:b w:val="false"/>
                <w:i w:val="false"/>
                <w:color w:val="000000"/>
                <w:sz w:val="12"/>
                <w:szCs w:val="12"/>
                <w:u w:val="none"/>
              </w:rPr>
              <w:t>Adjusted by demographic + geographical + clinical variables + FIM scores + Interactions</w:t>
            </w:r>
            <w:bookmarkStart w:id="12" w:name="time-adjusted-effect-of-ses-on-mortality"/>
            <w:bookmarkStart w:id="13" w:name="results"/>
            <w:bookmarkEnd w:id="12"/>
            <w:bookmarkEnd w:id="13"/>
          </w:p>
        </w:tc>
      </w:tr>
    </w:tbl>
    <w:p>
      <w:pPr>
        <w:pStyle w:val="Heading1"/>
        <w:rPr/>
      </w:pPr>
      <w:bookmarkStart w:id="14" w:name="__RefHeading___Toc7902_1018527687"/>
      <w:bookmarkEnd w:id="14"/>
      <w:r>
        <w:rPr/>
        <w:t>Observations and Limitations</w:t>
      </w:r>
    </w:p>
    <w:p>
      <w:pPr>
        <w:pStyle w:val="FirstParagraph"/>
        <w:rPr/>
      </w:pPr>
      <w:r>
        <w:rPr>
          <w:b/>
          <w:bCs/>
        </w:rPr>
        <w:t>Recommended reporting guideline</w:t>
      </w:r>
    </w:p>
    <w:p>
      <w:pPr>
        <w:pStyle w:val="BodyText"/>
        <w:rPr/>
      </w:pPr>
      <w:r>
        <w:rPr/>
        <w:t>The adoption of the EQUATOR network (</w:t>
      </w:r>
      <w:hyperlink r:id="rId4">
        <w:r>
          <w:rPr>
            <w:rStyle w:val="Hyperlink"/>
          </w:rPr>
          <w:t>http://www.equator-network.org/</w:t>
        </w:r>
      </w:hyperlink>
      <w:r>
        <w:rPr/>
        <w:t>) reporting guidelines have seen increasing adoption by scientific journals. All observational studies are recommended to be reported following the STROBE guideline (von Elm et al, 2014).</w:t>
      </w:r>
    </w:p>
    <w:p>
      <w:pPr>
        <w:pStyle w:val="Heading1"/>
        <w:rPr/>
      </w:pPr>
      <w:bookmarkStart w:id="15" w:name="__RefHeading___Toc7904_1018527687"/>
      <w:bookmarkEnd w:id="15"/>
      <w:r>
        <w:rPr/>
        <w:t>Conclusions</w:t>
      </w:r>
    </w:p>
    <w:p>
      <w:pPr>
        <w:pStyle w:val="FirstParagraph"/>
        <w:rPr/>
      </w:pPr>
      <w:r>
        <w:rPr/>
        <w:t>The epidemiological profile of the study participant is an 31 years old white male, that has greater than high school level of education, is actively employed and lives in an urban setting.</w:t>
      </w:r>
    </w:p>
    <w:p>
      <w:pPr>
        <w:pStyle w:val="BodyText"/>
        <w:rPr/>
      </w:pPr>
      <w:bookmarkStart w:id="16" w:name="conclusions"/>
      <w:r>
        <w:rPr/>
        <w:t>There appears to be a crude effect of SES on mortality, where participants that were discharged to either a comfortable or a distressed neighborhood had increased risk of death when compared to those discharged to a prosperous neighborhood. After controlling for other variables there is no association between SES and mortality.</w:t>
      </w:r>
      <w:bookmarkEnd w:id="16"/>
    </w:p>
    <w:p>
      <w:pPr>
        <w:pStyle w:val="Heading1"/>
        <w:rPr/>
      </w:pPr>
      <w:bookmarkStart w:id="17" w:name="__RefHeading___Toc7906_1018527687"/>
      <w:bookmarkStart w:id="18" w:name="references"/>
      <w:bookmarkEnd w:id="17"/>
      <w:r>
        <w:rPr/>
        <w:t>References</w:t>
      </w:r>
    </w:p>
    <w:p>
      <w:pPr>
        <w:pStyle w:val="Compact"/>
        <w:numPr>
          <w:ilvl w:val="0"/>
          <w:numId w:val="33"/>
        </w:numPr>
        <w:rPr/>
      </w:pPr>
      <w:r>
        <w:rPr>
          <w:b/>
          <w:bCs/>
        </w:rPr>
        <w:t>SAP-2023-016-BH-v03</w:t>
      </w:r>
      <w:r>
        <w:rPr/>
        <w:t xml:space="preserve"> – Analytical Plan for Time-adjusted effect of socioeconomic status in mortality rates after brain injury: cohort study</w:t>
      </w:r>
    </w:p>
    <w:p>
      <w:pPr>
        <w:pStyle w:val="Compact"/>
        <w:numPr>
          <w:ilvl w:val="0"/>
          <w:numId w:val="34"/>
        </w:numPr>
        <w:rPr/>
      </w:pPr>
      <w:r>
        <w:rPr>
          <w:b/>
          <w:bCs/>
        </w:rPr>
        <w:t>SAR-2023-004-BH-v02</w:t>
      </w:r>
      <w:r>
        <w:rPr/>
        <w:t xml:space="preserve"> – Effect of socioeconomic status in mortality rates after brain injury: cohort study</w:t>
      </w:r>
    </w:p>
    <w:p>
      <w:pPr>
        <w:pStyle w:val="Compact"/>
        <w:numPr>
          <w:ilvl w:val="0"/>
          <w:numId w:val="35"/>
        </w:numPr>
        <w:rPr/>
      </w:pPr>
      <w:r>
        <w:rPr/>
        <w:t>von Elm E, Altman DG, Egger M, Pocock SJ, Gøtzsche PC, Vandenbroucke JP; STROBE Initiative. The Strengthening the Reporting of Observational Studies in Epidemiology (STROBE) Statement: guidelines for reporting observational studies. Int J Surg. 2014 Dec;12(12):1495-9 (</w:t>
      </w:r>
      <w:hyperlink r:id="rId5">
        <w:r>
          <w:rPr>
            <w:rStyle w:val="Hyperlink"/>
          </w:rPr>
          <w:t>https://doi.org/10.1016/j.ijsu.2014.07.013</w:t>
        </w:r>
      </w:hyperlink>
      <w:r>
        <w:rPr/>
        <w:t>).</w:t>
      </w:r>
      <w:bookmarkEnd w:id="18"/>
    </w:p>
    <w:p>
      <w:pPr>
        <w:pStyle w:val="Heading1"/>
        <w:rPr/>
      </w:pPr>
      <w:bookmarkStart w:id="19" w:name="__RefHeading___Toc7908_1018527687"/>
      <w:bookmarkEnd w:id="19"/>
      <w:r>
        <w:rPr/>
        <w:t>Appendix</w:t>
      </w:r>
    </w:p>
    <w:p>
      <w:pPr>
        <w:pStyle w:val="Heading2"/>
        <w:rPr/>
      </w:pPr>
      <w:bookmarkStart w:id="20" w:name="__RefHeading___Toc7910_1018527687"/>
      <w:bookmarkStart w:id="21" w:name="exploratory-data-analysis"/>
      <w:bookmarkEnd w:id="20"/>
      <w:r>
        <w:rPr/>
        <w:t>Exploratory data analysis</w:t>
      </w:r>
    </w:p>
    <w:p>
      <w:pPr>
        <w:pStyle w:val="CaptionedFigure"/>
        <w:rPr/>
      </w:pPr>
      <w:r>
        <w:rPr/>
        <w:drawing>
          <wp:inline distT="0" distB="0" distL="0" distR="0">
            <wp:extent cx="4333240" cy="4333240"/>
            <wp:effectExtent l="0" t="0" r="0" b="0"/>
            <wp:docPr id="5" name="Image3" descr="Figure A1 Distribution of age in the study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Figure A1 Distribution of age in the study population."/>
                    <pic:cNvPicPr>
                      <a:picLocks noChangeAspect="1" noChangeArrowheads="1"/>
                    </pic:cNvPicPr>
                  </pic:nvPicPr>
                  <pic:blipFill>
                    <a:blip r:embed="rId6"/>
                    <a:stretch>
                      <a:fillRect/>
                    </a:stretch>
                  </pic:blipFill>
                  <pic:spPr bwMode="auto">
                    <a:xfrm>
                      <a:off x="0" y="0"/>
                      <a:ext cx="4333240" cy="4333240"/>
                    </a:xfrm>
                    <a:prstGeom prst="rect">
                      <a:avLst/>
                    </a:prstGeom>
                  </pic:spPr>
                </pic:pic>
              </a:graphicData>
            </a:graphic>
          </wp:inline>
        </w:drawing>
      </w:r>
    </w:p>
    <w:p>
      <w:pPr>
        <w:pStyle w:val="ImageCaption"/>
        <w:rPr/>
      </w:pPr>
      <w:r>
        <w:rPr>
          <w:b/>
          <w:bCs/>
        </w:rPr>
        <w:t>Figure A1</w:t>
      </w:r>
      <w:r>
        <w:rPr/>
        <w:t xml:space="preserve"> Distribution of age in the study population.</w:t>
      </w:r>
    </w:p>
    <w:p>
      <w:pPr>
        <w:pStyle w:val="CaptionedFigure"/>
        <w:rPr/>
      </w:pPr>
      <w:r>
        <w:rPr/>
        <w:drawing>
          <wp:inline distT="0" distB="0" distL="0" distR="0">
            <wp:extent cx="4333240" cy="4333240"/>
            <wp:effectExtent l="0" t="0" r="0" b="0"/>
            <wp:docPr id="6" name="Image4" descr="Figure A2 Distribution of SES in the study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Figure A2 Distribution of SES in the study population."/>
                    <pic:cNvPicPr>
                      <a:picLocks noChangeAspect="1" noChangeArrowheads="1"/>
                    </pic:cNvPicPr>
                  </pic:nvPicPr>
                  <pic:blipFill>
                    <a:blip r:embed="rId7"/>
                    <a:stretch>
                      <a:fillRect/>
                    </a:stretch>
                  </pic:blipFill>
                  <pic:spPr bwMode="auto">
                    <a:xfrm>
                      <a:off x="0" y="0"/>
                      <a:ext cx="4333240" cy="4333240"/>
                    </a:xfrm>
                    <a:prstGeom prst="rect">
                      <a:avLst/>
                    </a:prstGeom>
                  </pic:spPr>
                </pic:pic>
              </a:graphicData>
            </a:graphic>
          </wp:inline>
        </w:drawing>
      </w:r>
    </w:p>
    <w:p>
      <w:pPr>
        <w:pStyle w:val="ImageCaption"/>
        <w:rPr/>
      </w:pPr>
      <w:r>
        <w:rPr>
          <w:b/>
          <w:bCs/>
        </w:rPr>
        <w:t>Figure A2</w:t>
      </w:r>
      <w:r>
        <w:rPr/>
        <w:t xml:space="preserve"> Distribution of SES in the study population.</w:t>
      </w:r>
    </w:p>
    <w:p>
      <w:pPr>
        <w:pStyle w:val="CaptionedFigure"/>
        <w:rPr/>
      </w:pPr>
      <w:r>
        <w:rPr/>
        <w:drawing>
          <wp:inline distT="0" distB="0" distL="0" distR="0">
            <wp:extent cx="4333240" cy="4333240"/>
            <wp:effectExtent l="0" t="0" r="0" b="0"/>
            <wp:docPr id="7" name="Image5" descr="Figure A3 Alternative version of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Figure A3 Alternative version of figure 2."/>
                    <pic:cNvPicPr>
                      <a:picLocks noChangeAspect="1" noChangeArrowheads="1"/>
                    </pic:cNvPicPr>
                  </pic:nvPicPr>
                  <pic:blipFill>
                    <a:blip r:embed="rId8"/>
                    <a:stretch>
                      <a:fillRect/>
                    </a:stretch>
                  </pic:blipFill>
                  <pic:spPr bwMode="auto">
                    <a:xfrm>
                      <a:off x="0" y="0"/>
                      <a:ext cx="4333240" cy="4333240"/>
                    </a:xfrm>
                    <a:prstGeom prst="rect">
                      <a:avLst/>
                    </a:prstGeom>
                  </pic:spPr>
                </pic:pic>
              </a:graphicData>
            </a:graphic>
          </wp:inline>
        </w:drawing>
      </w:r>
    </w:p>
    <w:p>
      <w:pPr>
        <w:pStyle w:val="ImageCaption"/>
        <w:rPr/>
      </w:pPr>
      <w:r>
        <w:rPr>
          <w:b/>
          <w:bCs/>
        </w:rPr>
        <w:t>Figure A3</w:t>
      </w:r>
      <w:r>
        <w:rPr/>
        <w:t xml:space="preserve"> Alternative version of figure 2.</w:t>
      </w:r>
      <w:bookmarkEnd w:id="21"/>
    </w:p>
    <w:p>
      <w:pPr>
        <w:pStyle w:val="Heading2"/>
        <w:rPr/>
      </w:pPr>
      <w:bookmarkStart w:id="22" w:name="__RefHeading___Toc7912_1018527687"/>
      <w:bookmarkEnd w:id="22"/>
      <w:r>
        <w:rPr/>
        <w:t>Modeling strategy</w:t>
      </w:r>
    </w:p>
    <w:p>
      <w:pPr>
        <w:pStyle w:val="Heading3"/>
        <w:rPr/>
      </w:pPr>
      <w:bookmarkStart w:id="23" w:name="__RefHeading___Toc7914_1018527687"/>
      <w:bookmarkEnd w:id="23"/>
      <w:r>
        <w:rPr/>
        <w:t>Approaches to control for time-dependent covariates</w:t>
      </w:r>
    </w:p>
    <w:p>
      <w:pPr>
        <w:pStyle w:val="Heading4"/>
        <w:rPr/>
      </w:pPr>
      <w:r>
        <w:rPr/>
        <w:t>Before location/SES imputation</w:t>
      </w:r>
    </w:p>
    <w:p>
      <w:pPr>
        <w:pStyle w:val="FirstParagraph"/>
        <w:rPr/>
      </w:pPr>
      <w:r>
        <w:rPr/>
        <w:t xml:space="preserve">Imputation was done in a separate analysis and is described in the report </w:t>
      </w:r>
      <w:r>
        <w:rPr>
          <w:b/>
          <w:bCs/>
        </w:rPr>
        <w:t>SAR-2023-017-v01</w:t>
      </w:r>
      <w:r>
        <w:rPr/>
        <w:t>.</w:t>
      </w:r>
    </w:p>
    <w:p>
      <w:pPr>
        <w:pStyle w:val="Heading5"/>
        <w:rPr/>
      </w:pPr>
      <w:r>
        <w:rPr/>
        <w:t>Schoenfeld and Martingale residuals</w:t>
      </w:r>
    </w:p>
    <w:p>
      <w:pPr>
        <w:pStyle w:val="CaptionedFigure"/>
        <w:rPr/>
      </w:pPr>
      <w:r>
        <w:rPr/>
        <w:drawing>
          <wp:inline distT="0" distB="0" distL="0" distR="0">
            <wp:extent cx="6108700" cy="1660525"/>
            <wp:effectExtent l="0" t="0" r="0" b="0"/>
            <wp:docPr id="8" name="Image6" descr="Figure A4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Figure A4 caption"/>
                    <pic:cNvPicPr>
                      <a:picLocks noChangeAspect="1" noChangeArrowheads="1"/>
                    </pic:cNvPicPr>
                  </pic:nvPicPr>
                  <pic:blipFill>
                    <a:blip r:embed="rId9"/>
                    <a:stretch>
                      <a:fillRect/>
                    </a:stretch>
                  </pic:blipFill>
                  <pic:spPr bwMode="auto">
                    <a:xfrm>
                      <a:off x="0" y="0"/>
                      <a:ext cx="6108700" cy="1660525"/>
                    </a:xfrm>
                    <a:prstGeom prst="rect">
                      <a:avLst/>
                    </a:prstGeom>
                  </pic:spPr>
                </pic:pic>
              </a:graphicData>
            </a:graphic>
          </wp:inline>
        </w:drawing>
      </w:r>
    </w:p>
    <w:p>
      <w:pPr>
        <w:pStyle w:val="ImageCaption"/>
        <w:rPr/>
      </w:pPr>
      <w:r>
        <w:rPr>
          <w:b/>
          <w:bCs/>
        </w:rPr>
        <w:t>Figure A4</w:t>
      </w:r>
      <w:r>
        <w:rPr/>
        <w:t xml:space="preserve"> caption</w:t>
      </w:r>
    </w:p>
    <w:p>
      <w:pPr>
        <w:pStyle w:val="CaptionedFigure"/>
        <w:rPr/>
      </w:pPr>
      <w:r>
        <w:rPr/>
        <w:drawing>
          <wp:inline distT="0" distB="0" distL="0" distR="0">
            <wp:extent cx="4711700" cy="4711700"/>
            <wp:effectExtent l="0" t="0" r="0" b="0"/>
            <wp:docPr id="9" name="Image7" descr="Figure A5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Figure A5 caption"/>
                    <pic:cNvPicPr>
                      <a:picLocks noChangeAspect="1" noChangeArrowheads="1"/>
                    </pic:cNvPicPr>
                  </pic:nvPicPr>
                  <pic:blipFill>
                    <a:blip r:embed="rId10"/>
                    <a:stretch>
                      <a:fillRect/>
                    </a:stretch>
                  </pic:blipFill>
                  <pic:spPr bwMode="auto">
                    <a:xfrm>
                      <a:off x="0" y="0"/>
                      <a:ext cx="4711700" cy="4711700"/>
                    </a:xfrm>
                    <a:prstGeom prst="rect">
                      <a:avLst/>
                    </a:prstGeom>
                  </pic:spPr>
                </pic:pic>
              </a:graphicData>
            </a:graphic>
          </wp:inline>
        </w:drawing>
      </w:r>
    </w:p>
    <w:p>
      <w:pPr>
        <w:pStyle w:val="ImageCaption"/>
        <w:rPr/>
      </w:pPr>
      <w:r>
        <w:rPr>
          <w:b/>
          <w:bCs/>
        </w:rPr>
        <w:t>Figure A5</w:t>
      </w:r>
      <w:r>
        <w:rPr/>
        <w:t xml:space="preserve"> caption</w:t>
      </w:r>
    </w:p>
    <w:p>
      <w:pPr>
        <w:pStyle w:val="BodyText"/>
        <w:rPr/>
      </w:pPr>
      <w:r>
        <w:rPr/>
        <w:t>Notes:</w:t>
      </w:r>
    </w:p>
    <w:p>
      <w:pPr>
        <w:pStyle w:val="Compact"/>
        <w:numPr>
          <w:ilvl w:val="0"/>
          <w:numId w:val="36"/>
        </w:numPr>
        <w:rPr/>
      </w:pPr>
      <w:r>
        <w:rPr/>
        <w:t>cause, days, fimmot and fimcog are time-dependent (fail schoenfeld test) (A4)</w:t>
      </w:r>
    </w:p>
    <w:p>
      <w:pPr>
        <w:pStyle w:val="Compact"/>
        <w:numPr>
          <w:ilvl w:val="0"/>
          <w:numId w:val="37"/>
        </w:numPr>
        <w:rPr/>
      </w:pPr>
      <w:bookmarkStart w:id="24" w:name="schoenfeld-and-martingale-residuals"/>
      <w:r>
        <w:rPr/>
        <w:t>a few observations might be outliers, but do not appear to be influential (A5)</w:t>
      </w:r>
      <w:bookmarkEnd w:id="24"/>
    </w:p>
    <w:p>
      <w:pPr>
        <w:pStyle w:val="Heading5"/>
        <w:rPr/>
      </w:pPr>
      <w:r>
        <w:rPr/>
        <w:t>Martingale residuals of covariates against the null model</w:t>
      </w:r>
    </w:p>
    <w:p>
      <w:pPr>
        <w:pStyle w:val="CaptionedFigure"/>
        <w:rPr/>
      </w:pPr>
      <w:r>
        <w:rPr/>
        <w:drawing>
          <wp:inline distT="0" distB="0" distL="0" distR="0">
            <wp:extent cx="4711700" cy="4711700"/>
            <wp:effectExtent l="0" t="0" r="0" b="0"/>
            <wp:docPr id="10" name="Image8" descr="Figure A6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Figure A6 caption"/>
                    <pic:cNvPicPr>
                      <a:picLocks noChangeAspect="1" noChangeArrowheads="1"/>
                    </pic:cNvPicPr>
                  </pic:nvPicPr>
                  <pic:blipFill>
                    <a:blip r:embed="rId11"/>
                    <a:stretch>
                      <a:fillRect/>
                    </a:stretch>
                  </pic:blipFill>
                  <pic:spPr bwMode="auto">
                    <a:xfrm>
                      <a:off x="0" y="0"/>
                      <a:ext cx="4711700" cy="4711700"/>
                    </a:xfrm>
                    <a:prstGeom prst="rect">
                      <a:avLst/>
                    </a:prstGeom>
                  </pic:spPr>
                </pic:pic>
              </a:graphicData>
            </a:graphic>
          </wp:inline>
        </w:drawing>
      </w:r>
    </w:p>
    <w:p>
      <w:pPr>
        <w:pStyle w:val="ImageCaption"/>
        <w:rPr/>
      </w:pPr>
      <w:r>
        <w:rPr>
          <w:b/>
          <w:bCs/>
        </w:rPr>
        <w:t>Figure A6</w:t>
      </w:r>
      <w:r>
        <w:rPr/>
        <w:t xml:space="preserve"> caption</w:t>
      </w:r>
    </w:p>
    <w:p>
      <w:pPr>
        <w:pStyle w:val="CaptionedFigure"/>
        <w:rPr/>
      </w:pPr>
      <w:r>
        <w:rPr/>
        <w:drawing>
          <wp:inline distT="0" distB="0" distL="0" distR="0">
            <wp:extent cx="6108700" cy="1660525"/>
            <wp:effectExtent l="0" t="0" r="0" b="0"/>
            <wp:docPr id="11" name="Image9" descr="Figure A7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Figure A7 caption"/>
                    <pic:cNvPicPr>
                      <a:picLocks noChangeAspect="1" noChangeArrowheads="1"/>
                    </pic:cNvPicPr>
                  </pic:nvPicPr>
                  <pic:blipFill>
                    <a:blip r:embed="rId12"/>
                    <a:stretch>
                      <a:fillRect/>
                    </a:stretch>
                  </pic:blipFill>
                  <pic:spPr bwMode="auto">
                    <a:xfrm>
                      <a:off x="0" y="0"/>
                      <a:ext cx="6108700" cy="1660525"/>
                    </a:xfrm>
                    <a:prstGeom prst="rect">
                      <a:avLst/>
                    </a:prstGeom>
                  </pic:spPr>
                </pic:pic>
              </a:graphicData>
            </a:graphic>
          </wp:inline>
        </w:drawing>
      </w:r>
    </w:p>
    <w:p>
      <w:pPr>
        <w:pStyle w:val="ImageCaption"/>
        <w:rPr/>
      </w:pPr>
      <w:r>
        <w:rPr>
          <w:b/>
          <w:bCs/>
        </w:rPr>
        <w:t>Figure A7</w:t>
      </w:r>
      <w:r>
        <w:rPr/>
        <w:t xml:space="preserve"> caption</w:t>
      </w:r>
    </w:p>
    <w:p>
      <w:pPr>
        <w:pStyle w:val="BodyText"/>
        <w:rPr/>
      </w:pPr>
      <w:r>
        <w:rPr/>
        <w:t>Notes:</w:t>
      </w:r>
    </w:p>
    <w:p>
      <w:pPr>
        <w:pStyle w:val="Compact"/>
        <w:numPr>
          <w:ilvl w:val="0"/>
          <w:numId w:val="38"/>
        </w:numPr>
        <w:rPr/>
      </w:pPr>
      <w:r>
        <w:rPr/>
        <w:t>Cause has an extreme non-PH violation, falls are much higher risk (A6)</w:t>
      </w:r>
    </w:p>
    <w:p>
      <w:pPr>
        <w:pStyle w:val="Compact"/>
        <w:numPr>
          <w:ilvl w:val="0"/>
          <w:numId w:val="39"/>
        </w:numPr>
        <w:rPr/>
      </w:pPr>
      <w:r>
        <w:rPr/>
        <w:t>this justifies stratifying by Cause</w:t>
      </w:r>
    </w:p>
    <w:p>
      <w:pPr>
        <w:pStyle w:val="Compact"/>
        <w:numPr>
          <w:ilvl w:val="0"/>
          <w:numId w:val="40"/>
        </w:numPr>
        <w:rPr/>
      </w:pPr>
      <w:r>
        <w:rPr/>
        <w:t>individuals with lower days/fimmot/fimcog have higher non-PH risk (A7)</w:t>
      </w:r>
    </w:p>
    <w:p>
      <w:pPr>
        <w:pStyle w:val="Compact"/>
        <w:numPr>
          <w:ilvl w:val="0"/>
          <w:numId w:val="41"/>
        </w:numPr>
        <w:rPr/>
      </w:pPr>
      <w:bookmarkStart w:id="25" w:name="Xddb6fe2233f1850cadd212b7a3b4a02003ca6f2"/>
      <w:r>
        <w:rPr/>
        <w:t>days is much worse than FIM scores (highly non-linear) (A7)</w:t>
      </w:r>
      <w:bookmarkEnd w:id="25"/>
    </w:p>
    <w:p>
      <w:pPr>
        <w:pStyle w:val="Heading5"/>
        <w:rPr/>
      </w:pPr>
      <w:r>
        <w:rPr/>
        <w:t>Stratification by cause of injury</w:t>
      </w:r>
    </w:p>
    <w:p>
      <w:pPr>
        <w:pStyle w:val="CaptionedFigure"/>
        <w:rPr/>
      </w:pPr>
      <w:r>
        <w:rPr/>
        <w:drawing>
          <wp:inline distT="0" distB="0" distL="0" distR="0">
            <wp:extent cx="6108700" cy="1660525"/>
            <wp:effectExtent l="0" t="0" r="0" b="0"/>
            <wp:docPr id="12" name="Image10" descr="Figure A8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Figure A8 caption"/>
                    <pic:cNvPicPr>
                      <a:picLocks noChangeAspect="1" noChangeArrowheads="1"/>
                    </pic:cNvPicPr>
                  </pic:nvPicPr>
                  <pic:blipFill>
                    <a:blip r:embed="rId13"/>
                    <a:stretch>
                      <a:fillRect/>
                    </a:stretch>
                  </pic:blipFill>
                  <pic:spPr bwMode="auto">
                    <a:xfrm>
                      <a:off x="0" y="0"/>
                      <a:ext cx="6108700" cy="1660525"/>
                    </a:xfrm>
                    <a:prstGeom prst="rect">
                      <a:avLst/>
                    </a:prstGeom>
                  </pic:spPr>
                </pic:pic>
              </a:graphicData>
            </a:graphic>
          </wp:inline>
        </w:drawing>
      </w:r>
    </w:p>
    <w:p>
      <w:pPr>
        <w:pStyle w:val="ImageCaption"/>
        <w:rPr/>
      </w:pPr>
      <w:r>
        <w:rPr>
          <w:b/>
          <w:bCs/>
        </w:rPr>
        <w:t>Figure A8</w:t>
      </w:r>
      <w:r>
        <w:rPr/>
        <w:t xml:space="preserve"> caption</w:t>
      </w:r>
    </w:p>
    <w:p>
      <w:pPr>
        <w:pStyle w:val="BodyText"/>
        <w:rPr/>
      </w:pPr>
      <w:r>
        <w:rPr/>
        <w:t>Notes:</w:t>
      </w:r>
    </w:p>
    <w:p>
      <w:pPr>
        <w:pStyle w:val="Compact"/>
        <w:numPr>
          <w:ilvl w:val="0"/>
          <w:numId w:val="42"/>
        </w:numPr>
        <w:rPr/>
      </w:pPr>
      <w:bookmarkStart w:id="26" w:name="stratification-by-cause-of-injury"/>
      <w:r>
        <w:rPr/>
        <w:t>stratifying by cause helps with non-PH of the 3 vars (A8)</w:t>
      </w:r>
      <w:bookmarkEnd w:id="26"/>
    </w:p>
    <w:p>
      <w:pPr>
        <w:pStyle w:val="Heading5"/>
        <w:rPr/>
      </w:pPr>
      <w:r>
        <w:rPr/>
        <w:t>Time split</w:t>
      </w:r>
    </w:p>
    <w:p>
      <w:pPr>
        <w:pStyle w:val="CaptionedFigure"/>
        <w:rPr/>
      </w:pPr>
      <w:r>
        <w:rPr/>
        <w:drawing>
          <wp:inline distT="0" distB="0" distL="0" distR="0">
            <wp:extent cx="6108700" cy="3320415"/>
            <wp:effectExtent l="0" t="0" r="0" b="0"/>
            <wp:docPr id="13" name="Image11" descr="Figure A9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igure A9 caption"/>
                    <pic:cNvPicPr>
                      <a:picLocks noChangeAspect="1" noChangeArrowheads="1"/>
                    </pic:cNvPicPr>
                  </pic:nvPicPr>
                  <pic:blipFill>
                    <a:blip r:embed="rId14"/>
                    <a:stretch>
                      <a:fillRect/>
                    </a:stretch>
                  </pic:blipFill>
                  <pic:spPr bwMode="auto">
                    <a:xfrm>
                      <a:off x="0" y="0"/>
                      <a:ext cx="6108700" cy="3320415"/>
                    </a:xfrm>
                    <a:prstGeom prst="rect">
                      <a:avLst/>
                    </a:prstGeom>
                  </pic:spPr>
                </pic:pic>
              </a:graphicData>
            </a:graphic>
          </wp:inline>
        </w:drawing>
      </w:r>
    </w:p>
    <w:p>
      <w:pPr>
        <w:pStyle w:val="ImageCaption"/>
        <w:rPr/>
      </w:pPr>
      <w:r>
        <w:rPr>
          <w:b/>
          <w:bCs/>
        </w:rPr>
        <w:t>Figure A9</w:t>
      </w:r>
      <w:r>
        <w:rPr/>
        <w:t xml:space="preserve"> caption</w:t>
      </w:r>
    </w:p>
    <w:p>
      <w:pPr>
        <w:pStyle w:val="BodyText"/>
        <w:rPr/>
      </w:pPr>
      <w:r>
        <w:rPr/>
        <w:t>Notes:</w:t>
      </w:r>
    </w:p>
    <w:p>
      <w:pPr>
        <w:pStyle w:val="Compact"/>
        <w:numPr>
          <w:ilvl w:val="0"/>
          <w:numId w:val="43"/>
        </w:numPr>
        <w:rPr/>
      </w:pPr>
      <w:bookmarkStart w:id="27" w:name="time-split"/>
      <w:r>
        <w:rPr/>
        <w:t>time split at 1yr doesn’t help further (A9)</w:t>
      </w:r>
      <w:bookmarkEnd w:id="27"/>
    </w:p>
    <w:p>
      <w:pPr>
        <w:pStyle w:val="Heading5"/>
        <w:rPr/>
      </w:pPr>
      <w:r>
        <w:rPr/>
        <w:t>Non-linear fitting</w:t>
      </w:r>
    </w:p>
    <w:p>
      <w:pPr>
        <w:pStyle w:val="CaptionedFigure"/>
        <w:rPr/>
      </w:pPr>
      <w:r>
        <w:rPr/>
        <w:drawing>
          <wp:inline distT="0" distB="0" distL="0" distR="0">
            <wp:extent cx="6108700" cy="1660525"/>
            <wp:effectExtent l="0" t="0" r="0" b="0"/>
            <wp:docPr id="14" name="Image12" descr="Figure A10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Figure A10 caption"/>
                    <pic:cNvPicPr>
                      <a:picLocks noChangeAspect="1" noChangeArrowheads="1"/>
                    </pic:cNvPicPr>
                  </pic:nvPicPr>
                  <pic:blipFill>
                    <a:blip r:embed="rId15"/>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A10</w:t>
      </w:r>
      <w:r>
        <w:rPr/>
        <w:t xml:space="preserve"> caption</w:t>
      </w:r>
    </w:p>
    <w:p>
      <w:pPr>
        <w:pStyle w:val="CaptionedFigure"/>
        <w:rPr/>
      </w:pPr>
      <w:r>
        <w:rPr/>
        <w:drawing>
          <wp:inline distT="0" distB="0" distL="0" distR="0">
            <wp:extent cx="6108700" cy="1660525"/>
            <wp:effectExtent l="0" t="0" r="0" b="0"/>
            <wp:docPr id="15" name="Image13" descr="Figure A1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Figure A11 caption"/>
                    <pic:cNvPicPr>
                      <a:picLocks noChangeAspect="1" noChangeArrowheads="1"/>
                    </pic:cNvPicPr>
                  </pic:nvPicPr>
                  <pic:blipFill>
                    <a:blip r:embed="rId16"/>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A11</w:t>
      </w:r>
      <w:r>
        <w:rPr/>
        <w:t xml:space="preserve"> caption</w:t>
      </w:r>
    </w:p>
    <w:p>
      <w:pPr>
        <w:pStyle w:val="BodyText"/>
        <w:rPr/>
      </w:pPr>
      <w:r>
        <w:rPr/>
        <w:t>Notes:</w:t>
      </w:r>
    </w:p>
    <w:p>
      <w:pPr>
        <w:pStyle w:val="Compact"/>
        <w:numPr>
          <w:ilvl w:val="0"/>
          <w:numId w:val="44"/>
        </w:numPr>
        <w:rPr/>
      </w:pPr>
      <w:bookmarkStart w:id="28" w:name="non-linear-fitting"/>
      <w:r>
        <w:rPr/>
        <w:t>polynomials (A10) and splines (A11) appear to help stabilize residuals, but not enough</w:t>
      </w:r>
      <w:bookmarkEnd w:id="28"/>
    </w:p>
    <w:p>
      <w:pPr>
        <w:pStyle w:val="Heading5"/>
        <w:rPr/>
      </w:pPr>
      <w:r>
        <w:rPr/>
        <w:t>Interaction with time</w:t>
      </w:r>
    </w:p>
    <w:p>
      <w:pPr>
        <w:pStyle w:val="CaptionedFigure"/>
        <w:rPr/>
      </w:pPr>
      <w:r>
        <w:rPr/>
        <w:drawing>
          <wp:inline distT="0" distB="0" distL="0" distR="0">
            <wp:extent cx="6108700" cy="1660525"/>
            <wp:effectExtent l="0" t="0" r="0" b="0"/>
            <wp:docPr id="16" name="Image14" descr="Figure A12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Figure A12 caption"/>
                    <pic:cNvPicPr>
                      <a:picLocks noChangeAspect="1" noChangeArrowheads="1"/>
                    </pic:cNvPicPr>
                  </pic:nvPicPr>
                  <pic:blipFill>
                    <a:blip r:embed="rId17"/>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A12</w:t>
      </w:r>
      <w:r>
        <w:rPr/>
        <w:t xml:space="preserve"> caption</w:t>
      </w:r>
    </w:p>
    <w:p>
      <w:pPr>
        <w:pStyle w:val="BodyText"/>
        <w:rPr/>
      </w:pPr>
      <w:r>
        <w:rPr/>
        <w:t>Notes:</w:t>
      </w:r>
    </w:p>
    <w:p>
      <w:pPr>
        <w:pStyle w:val="Compact"/>
        <w:numPr>
          <w:ilvl w:val="0"/>
          <w:numId w:val="45"/>
        </w:numPr>
        <w:rPr/>
      </w:pPr>
      <w:bookmarkStart w:id="29" w:name="interaction-with-time"/>
      <w:r>
        <w:rPr/>
        <w:t>makes non-PH worse, not helpful at all (A12)</w:t>
      </w:r>
      <w:bookmarkEnd w:id="29"/>
    </w:p>
    <w:p>
      <w:pPr>
        <w:pStyle w:val="Heading5"/>
        <w:rPr/>
      </w:pPr>
      <w:r>
        <w:rPr/>
        <w:t>FIM scores quartiles</w:t>
      </w:r>
    </w:p>
    <w:p>
      <w:pPr>
        <w:pStyle w:val="CaptionedFigure"/>
        <w:rPr/>
      </w:pPr>
      <w:r>
        <w:rPr/>
        <w:drawing>
          <wp:inline distT="0" distB="0" distL="0" distR="0">
            <wp:extent cx="6108700" cy="4980940"/>
            <wp:effectExtent l="0" t="0" r="0" b="0"/>
            <wp:docPr id="17" name="Image15" descr="Figure A13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Figure A13 caption"/>
                    <pic:cNvPicPr>
                      <a:picLocks noChangeAspect="1" noChangeArrowheads="1"/>
                    </pic:cNvPicPr>
                  </pic:nvPicPr>
                  <pic:blipFill>
                    <a:blip r:embed="rId18"/>
                    <a:stretch>
                      <a:fillRect/>
                    </a:stretch>
                  </pic:blipFill>
                  <pic:spPr bwMode="auto">
                    <a:xfrm>
                      <a:off x="0" y="0"/>
                      <a:ext cx="6108700" cy="4980940"/>
                    </a:xfrm>
                    <a:prstGeom prst="rect">
                      <a:avLst/>
                    </a:prstGeom>
                  </pic:spPr>
                </pic:pic>
              </a:graphicData>
            </a:graphic>
          </wp:inline>
        </w:drawing>
      </w:r>
    </w:p>
    <w:p>
      <w:pPr>
        <w:pStyle w:val="ImageCaption"/>
        <w:rPr/>
      </w:pPr>
      <w:r>
        <w:rPr>
          <w:b/>
          <w:bCs/>
        </w:rPr>
        <w:t>Figure A13</w:t>
      </w:r>
      <w:r>
        <w:rPr/>
        <w:t xml:space="preserve"> caption</w:t>
      </w:r>
    </w:p>
    <w:p>
      <w:pPr>
        <w:pStyle w:val="BodyText"/>
        <w:rPr/>
      </w:pPr>
      <w:r>
        <w:rPr/>
        <w:t>Notes:</w:t>
      </w:r>
    </w:p>
    <w:p>
      <w:pPr>
        <w:pStyle w:val="Compact"/>
        <w:numPr>
          <w:ilvl w:val="0"/>
          <w:numId w:val="46"/>
        </w:numPr>
        <w:rPr/>
      </w:pPr>
      <w:r>
        <w:rPr/>
        <w:t>days still non-PH (A13)</w:t>
      </w:r>
    </w:p>
    <w:p>
      <w:pPr>
        <w:pStyle w:val="Compact"/>
        <w:numPr>
          <w:ilvl w:val="0"/>
          <w:numId w:val="47"/>
        </w:numPr>
        <w:rPr/>
      </w:pPr>
      <w:bookmarkStart w:id="30" w:name="fim-scores-quartiles"/>
      <w:bookmarkStart w:id="31" w:name="before-locationses-imputation"/>
      <w:r>
        <w:rPr/>
        <w:t>FIM scores seem PH enough (A13)</w:t>
      </w:r>
      <w:bookmarkEnd w:id="30"/>
      <w:bookmarkEnd w:id="31"/>
    </w:p>
    <w:p>
      <w:pPr>
        <w:pStyle w:val="Heading4"/>
        <w:rPr/>
      </w:pPr>
      <w:r>
        <w:rPr/>
        <w:t>Best model specification</w:t>
      </w:r>
    </w:p>
    <w:p>
      <w:pPr>
        <w:pStyle w:val="CaptionedFigure"/>
        <w:rPr/>
      </w:pPr>
      <w:r>
        <w:rPr/>
        <w:drawing>
          <wp:inline distT="0" distB="0" distL="0" distR="0">
            <wp:extent cx="6108700" cy="4980940"/>
            <wp:effectExtent l="0" t="0" r="0" b="0"/>
            <wp:docPr id="18" name="Image16" descr="Figure A14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Figure A14 caption"/>
                    <pic:cNvPicPr>
                      <a:picLocks noChangeAspect="1" noChangeArrowheads="1"/>
                    </pic:cNvPicPr>
                  </pic:nvPicPr>
                  <pic:blipFill>
                    <a:blip r:embed="rId19"/>
                    <a:stretch>
                      <a:fillRect/>
                    </a:stretch>
                  </pic:blipFill>
                  <pic:spPr bwMode="auto">
                    <a:xfrm>
                      <a:off x="0" y="0"/>
                      <a:ext cx="6108700" cy="4980940"/>
                    </a:xfrm>
                    <a:prstGeom prst="rect">
                      <a:avLst/>
                    </a:prstGeom>
                  </pic:spPr>
                </pic:pic>
              </a:graphicData>
            </a:graphic>
          </wp:inline>
        </w:drawing>
      </w:r>
    </w:p>
    <w:p>
      <w:pPr>
        <w:pStyle w:val="ImageCaption"/>
        <w:rPr/>
      </w:pPr>
      <w:r>
        <w:rPr>
          <w:b/>
          <w:bCs/>
        </w:rPr>
        <w:t>Figure A14</w:t>
      </w:r>
      <w:r>
        <w:rPr/>
        <w:t xml:space="preserve"> caption</w:t>
      </w:r>
    </w:p>
    <w:p>
      <w:pPr>
        <w:pStyle w:val="BodyText"/>
        <w:rPr/>
      </w:pPr>
      <w:r>
        <w:rPr/>
        <w:t>Notes:</w:t>
      </w:r>
    </w:p>
    <w:p>
      <w:pPr>
        <w:pStyle w:val="Compact"/>
        <w:numPr>
          <w:ilvl w:val="0"/>
          <w:numId w:val="48"/>
        </w:numPr>
        <w:rPr/>
      </w:pPr>
      <w:r>
        <w:rPr/>
        <w:t>removing days makes residuals appear PH (A14)</w:t>
      </w:r>
    </w:p>
    <w:p>
      <w:pPr>
        <w:pStyle w:val="Compact"/>
        <w:numPr>
          <w:ilvl w:val="0"/>
          <w:numId w:val="49"/>
        </w:numPr>
        <w:rPr/>
      </w:pPr>
      <w:r>
        <w:rPr/>
        <w:t>passes schoenfeld test</w:t>
      </w:r>
    </w:p>
    <w:p>
      <w:pPr>
        <w:pStyle w:val="Compact"/>
        <w:numPr>
          <w:ilvl w:val="0"/>
          <w:numId w:val="50"/>
        </w:numPr>
        <w:rPr/>
      </w:pPr>
      <w:bookmarkStart w:id="32" w:name="best-model-specification"/>
      <w:bookmarkStart w:id="33" w:name="X38cf3dbece1217d7773e1dccbeb2815bb0bca73"/>
      <w:r>
        <w:rPr/>
        <w:t>final model: strat by cause + FIM quartiles + drop days</w:t>
      </w:r>
      <w:bookmarkEnd w:id="32"/>
      <w:bookmarkEnd w:id="33"/>
    </w:p>
    <w:p>
      <w:pPr>
        <w:pStyle w:val="Heading3"/>
        <w:rPr/>
      </w:pPr>
      <w:bookmarkStart w:id="34" w:name="__RefHeading___Toc7916_1018527687"/>
      <w:bookmarkStart w:id="35" w:name="after-locationses-imputation"/>
      <w:bookmarkEnd w:id="34"/>
      <w:r>
        <w:rPr/>
        <w:t>After location/SES imputation</w:t>
      </w:r>
      <w:bookmarkEnd w:id="35"/>
    </w:p>
    <w:p>
      <w:pPr>
        <w:pStyle w:val="Heading3"/>
        <w:rPr/>
      </w:pPr>
      <w:bookmarkStart w:id="36" w:name="__RefHeading___Toc7918_1018527687"/>
      <w:bookmarkEnd w:id="36"/>
      <w:r>
        <w:rPr/>
        <w:t>Final model specification</w:t>
      </w:r>
    </w:p>
    <w:p>
      <w:pPr>
        <w:pStyle w:val="TableCaption"/>
        <w:keepNext w:val="true"/>
        <w:spacing w:lineRule="exact" w:line="240" w:before="60" w:after="60"/>
        <w:ind w:hanging="0" w:left="60" w:right="60"/>
        <w:jc w:val="center"/>
        <w:rPr/>
      </w:pPr>
      <w:r>
        <w:rPr/>
        <w:t>**Table A1** Alternative version of Table 2, showing effects from all covariates included in the models.</w:t>
      </w:r>
    </w:p>
    <w:tbl>
      <w:tblPr>
        <w:tblW w:w="9634" w:type="dxa"/>
        <w:jc w:val="left"/>
        <w:tblInd w:w="0" w:type="dxa"/>
        <w:tblLayout w:type="fixed"/>
        <w:tblCellMar>
          <w:top w:w="0" w:type="dxa"/>
          <w:left w:w="0" w:type="dxa"/>
          <w:bottom w:w="0" w:type="dxa"/>
          <w:right w:w="0" w:type="dxa"/>
        </w:tblCellMar>
        <w:tblLook w:noHBand="0" w:noVBand="1" w:firstColumn="0" w:lastRow="0" w:lastColumn="0" w:firstRow="1"/>
      </w:tblPr>
      <w:tblGrid>
        <w:gridCol w:w="3559"/>
        <w:gridCol w:w="1035"/>
        <w:gridCol w:w="1008"/>
        <w:gridCol w:w="1007"/>
        <w:gridCol w:w="1008"/>
        <w:gridCol w:w="1009"/>
        <w:gridCol w:w="1007"/>
      </w:tblGrid>
      <w:tr>
        <w:trPr>
          <w:tblHeader w:val="true"/>
          <w:trHeight w:val="581" w:hRule="atLeast"/>
        </w:trPr>
        <w:tc>
          <w:tcPr>
            <w:tcW w:w="3559"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left"/>
              <w:rPr>
                <w:rFonts w:eastAsia="DejaVu Sans" w:cs="DejaVu Sans"/>
                <w:b w:val="false"/>
                <w:i w:val="false"/>
                <w:i w:val="false"/>
                <w:color w:val="000000"/>
                <w:u w:val="none"/>
              </w:rPr>
            </w:pPr>
            <w:r>
              <w:rPr>
                <w:rFonts w:eastAsia="DejaVu Sans" w:cs="DejaVu Sans"/>
                <w:b w:val="false"/>
                <w:i w:val="false"/>
                <w:color w:val="000000"/>
                <w:u w:val="none"/>
              </w:rPr>
            </w:r>
          </w:p>
        </w:tc>
        <w:tc>
          <w:tcPr>
            <w:tcW w:w="1035"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Crude estimate</w:t>
            </w:r>
          </w:p>
        </w:tc>
        <w:tc>
          <w:tcPr>
            <w:tcW w:w="1008"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2</w:t>
            </w:r>
          </w:p>
        </w:tc>
        <w:tc>
          <w:tcPr>
            <w:tcW w:w="100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3</w:t>
            </w:r>
          </w:p>
        </w:tc>
        <w:tc>
          <w:tcPr>
            <w:tcW w:w="1008"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4</w:t>
            </w:r>
          </w:p>
        </w:tc>
        <w:tc>
          <w:tcPr>
            <w:tcW w:w="1009"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5</w:t>
            </w:r>
          </w:p>
        </w:tc>
        <w:tc>
          <w:tcPr>
            <w:tcW w:w="100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6</w:t>
            </w:r>
          </w:p>
        </w:tc>
      </w:tr>
      <w:tr>
        <w:trPr>
          <w:tblHeader w:val="true"/>
          <w:trHeight w:val="607" w:hRule="atLeast"/>
        </w:trPr>
        <w:tc>
          <w:tcPr>
            <w:tcW w:w="3559"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Characteristic</w:t>
            </w:r>
          </w:p>
        </w:tc>
        <w:tc>
          <w:tcPr>
            <w:tcW w:w="1035"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1008"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100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1008"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1009"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100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r>
      <w:tr>
        <w:trPr>
          <w:trHeight w:val="624" w:hRule="atLeast"/>
        </w:trPr>
        <w:tc>
          <w:tcPr>
            <w:tcW w:w="3559" w:type="dxa"/>
            <w:tcBorders>
              <w:top w:val="single" w:sz="8" w:space="0" w:color="000000"/>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w:t>
            </w:r>
          </w:p>
        </w:tc>
        <w:tc>
          <w:tcPr>
            <w:tcW w:w="1035" w:type="dxa"/>
            <w:tcBorders>
              <w:top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top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top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top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top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top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61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Prosperous</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1.13 (0.118)</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1.08 (0.118)</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 (0.119)</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 (0.119)</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1.06 (0.119)</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1.11 (0.210)</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 (0.121)</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1.20 (0.122)</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 (0.123)</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 (0.124)</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 (0.124)</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0.86 (0.239)</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1.12 (0.121)</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 (0.123)</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1.15 (0.124)</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1.15 (0.124)</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1.11 (0.124)</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0.86 (0.236)</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1.33* (0.115)</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1.44** (0.123)</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1.40** (0.125)</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1.41** (0.125)</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1.33* (0.126)</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1.39 (0.210)</w:t>
            </w:r>
          </w:p>
        </w:tc>
      </w:tr>
      <w:tr>
        <w:trPr>
          <w:trHeight w:val="577"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Sex:</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581"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Male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Female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0.64*** (0.088)</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0.65*** (0.088)</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0.67*** (0.089)</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0.69*** (0.089)</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0.68*** (0.089)</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What is your race?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581"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White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Black</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0.82 (0.118)</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(0.121)</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0.80 (0.122)</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0.79 (0.122)</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0.77* (0.122)</w:t>
            </w:r>
          </w:p>
        </w:tc>
      </w:tr>
      <w:tr>
        <w:trPr>
          <w:trHeight w:val="624"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Hispanic</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0.70* (0.161)</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0.67* (0.166)</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0.66* (0.166)</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0.65** (0.167)</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0.62** (0.168)</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0.72 (0.206)</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0.74 (0.207)</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0.73 (0.207)</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0.71 (0.208)</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0.68 (0.210)</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Age at Injury</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(0.002)</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(0.002)</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(0.003)</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(0.003)</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(0.003)</w:t>
            </w:r>
          </w:p>
        </w:tc>
      </w:tr>
      <w:tr>
        <w:trPr>
          <w:trHeight w:val="581"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Education</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624"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Greater Than High School</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24"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Less Than High School</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 (0.114)</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 (0.114)</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1.16 (0.115)</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 (0.116)</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1.13 (0.117)</w:t>
            </w:r>
          </w:p>
        </w:tc>
      </w:tr>
      <w:tr>
        <w:trPr>
          <w:trHeight w:val="624"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High School/GED</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1.45*** (0.086)</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1.45*** (0.087)</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1.42*** (0.087)</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1.41*** (0.088)</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1.41*** (0.089)</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At time of injury, what was your employment status?</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624"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Employed</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24"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Unemployed</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2.25*** (0.136)</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2.14*** (0.136)</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1.85*** (0.142)</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1.80*** (0.142)</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1.82*** (0.142)</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2.17*** (0.100)</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2.13*** (0.100)</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1.98*** (0.105)</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1.82*** (0.106)</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1.79*** (0.106)</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Residence after rehab discharge: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581"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Private Residence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1.68*** (0.083)</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1.64*** (0.085)</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1.42*** (0.087)</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1.41*** (0.089)</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Urbanization based on zip code of address at discharge.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581"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Suburban</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Rural</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1.02 (0.114)</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1.01 (0.114)</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1.01 (0.114)</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(0.116)</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Urban</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1.15 (0.094)</w:t>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 (0.094)</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1.13 (0.094)</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1.15 (0.095)</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Primary rehabilitation payor:</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581"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Private Insurance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Public Insurance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1.36** (0.095)</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1.32** (0.095)</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1.33** (0.096)</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1.16 (0.184)</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1.09 (0.185)</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1.13 (0.186)</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Spinal cord injury:</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 (0.175)</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1.19 (0.176)</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1.17 (0.179)</w:t>
            </w:r>
          </w:p>
        </w:tc>
      </w:tr>
      <w:tr>
        <w:trPr>
          <w:trHeight w:val="607"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Substance Problem Use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1.22* (0.092)</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1.25* (0.092)</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1.23* (0.093)</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Days From Injury to Rehab Discharge</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(0.001)</w:t>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(0.002)</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(0.002)</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FIM Motor at Discharge quartiles</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602"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Q1</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Q2</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0.72** (0.102)</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0.57** (0.212)</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Q3</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0.69** (0.120)</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0.68 (0.239)</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Q4</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0.55*** (0.143)</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0.28*** (0.348)</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FIM Cognitive at Discharge quartiles</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602"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Q1</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Q2</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0.87 (0.105)</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 (0.223)</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Q3</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(0.111)</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0.76 (0.255)</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Q4</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0.65** (0.128)</w:t>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0.70 (0.256)</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 FIM Motor at Discharge quartiles</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Q2</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1.86* (0.306)</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Q2</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 (0.323)</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Q2</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1.31 (0.308)</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Q2</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 (0.299)</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Q3</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1.09 (0.357)</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Q3</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1.02 (0.358)</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Q3</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0.97 (0.357)</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Q3</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0.96 (0.335)</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Q4</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2.05 (0.467)</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Q4</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2.00 (0.453)</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Q4</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2.38* (0.442)</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Q4</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2.73* (0.442)</w:t>
            </w:r>
          </w:p>
        </w:tc>
      </w:tr>
      <w:tr>
        <w:trPr>
          <w:trHeight w:val="624" w:hRule="atLeast"/>
        </w:trPr>
        <w:tc>
          <w:tcPr>
            <w:tcW w:w="355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 FIM Cognitive at Discharge quartiles</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Q2</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0.57 (0.330)</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Q2</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1.26 (0.346)</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Q2</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0.82 (0.329)</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Q2</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0.59 (0.312)</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Q3</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0.74 (0.367)</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Q3</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1.77 (0.365)</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Q3</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1.48 (0.350)</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Q3</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0.80 (0.351)</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Q4</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0.60 (0.381)</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Q4</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0.85 (0.415)</w:t>
            </w:r>
          </w:p>
        </w:tc>
      </w:tr>
      <w:tr>
        <w:trPr>
          <w:trHeight w:val="607" w:hRule="atLeast"/>
        </w:trPr>
        <w:tc>
          <w:tcPr>
            <w:tcW w:w="355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Q4</w:t>
            </w:r>
          </w:p>
        </w:tc>
        <w:tc>
          <w:tcPr>
            <w:tcW w:w="1035"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1.57 (0.389)</w:t>
            </w:r>
          </w:p>
        </w:tc>
      </w:tr>
      <w:tr>
        <w:trPr>
          <w:trHeight w:val="607" w:hRule="atLeast"/>
        </w:trPr>
        <w:tc>
          <w:tcPr>
            <w:tcW w:w="3559" w:type="dxa"/>
            <w:tcBorders>
              <w:bottom w:val="single" w:sz="8" w:space="0" w:color="000000"/>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Q4</w:t>
            </w:r>
          </w:p>
        </w:tc>
        <w:tc>
          <w:tcPr>
            <w:tcW w:w="1035"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8"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9"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sz w:val="12"/>
                <w:szCs w:val="12"/>
              </w:rPr>
            </w:r>
          </w:p>
        </w:tc>
        <w:tc>
          <w:tcPr>
            <w:tcW w:w="1007"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 (0.369)</w:t>
            </w:r>
          </w:p>
        </w:tc>
      </w:tr>
      <w:tr>
        <w:trPr>
          <w:trHeight w:val="360" w:hRule="atLeast"/>
        </w:trPr>
        <w:tc>
          <w:tcPr>
            <w:tcW w:w="9633" w:type="dxa"/>
            <w:gridSpan w:val="7"/>
            <w:tcBorders>
              <w:top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1</w:t>
            </w:r>
            <w:r>
              <w:rPr>
                <w:rFonts w:eastAsia="DejaVu Sans" w:cs="DejaVu Sans"/>
                <w:b w:val="false"/>
                <w:i w:val="false"/>
                <w:color w:val="000000"/>
                <w:sz w:val="12"/>
                <w:szCs w:val="12"/>
                <w:u w:val="none"/>
              </w:rPr>
              <w:t>*p&lt;0.05; **p&lt;0.01; ***p&lt;0.001</w:t>
            </w:r>
          </w:p>
        </w:tc>
      </w:tr>
      <w:tr>
        <w:trPr>
          <w:trHeight w:val="360" w:hRule="atLeast"/>
        </w:trPr>
        <w:tc>
          <w:tcPr>
            <w:tcW w:w="9633" w:type="dxa"/>
            <w:gridSpan w:val="7"/>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2</w:t>
            </w:r>
            <w:r>
              <w:rPr>
                <w:rFonts w:eastAsia="DejaVu Sans" w:cs="DejaVu Sans"/>
                <w:b w:val="false"/>
                <w:i w:val="false"/>
                <w:color w:val="000000"/>
                <w:sz w:val="12"/>
                <w:szCs w:val="12"/>
                <w:u w:val="none"/>
              </w:rPr>
              <w:t>HR = Hazard Ratio, SE = Standard Error</w:t>
            </w:r>
            <w:bookmarkStart w:id="37" w:name="final-model-specification"/>
            <w:bookmarkStart w:id="38" w:name="modeling-strategy"/>
            <w:bookmarkEnd w:id="37"/>
            <w:bookmarkEnd w:id="38"/>
          </w:p>
        </w:tc>
      </w:tr>
    </w:tbl>
    <w:p>
      <w:pPr>
        <w:pStyle w:val="Heading2"/>
        <w:rPr/>
      </w:pPr>
      <w:bookmarkStart w:id="39" w:name="__RefHeading___Toc7920_1018527687"/>
      <w:bookmarkEnd w:id="39"/>
      <w:r>
        <w:rPr/>
        <w:t>Availability</w:t>
      </w:r>
    </w:p>
    <w:p>
      <w:pPr>
        <w:pStyle w:val="FirstParagraph"/>
        <w:rPr/>
      </w:pPr>
      <w:r>
        <w:rPr/>
        <w:t>All documents from this consultation were included in the consultant’s Portfolio.</w:t>
      </w:r>
    </w:p>
    <w:p>
      <w:pPr>
        <w:pStyle w:val="BodyText"/>
        <w:rPr/>
      </w:pPr>
      <w:r>
        <w:rPr/>
        <w:t>The portfolio is available at:</w:t>
      </w:r>
    </w:p>
    <w:p>
      <w:pPr>
        <w:pStyle w:val="BodyText"/>
        <w:rPr/>
      </w:pPr>
      <w:hyperlink r:id="rId20">
        <w:r>
          <w:rPr>
            <w:rStyle w:val="Hyperlink"/>
          </w:rPr>
          <w:t>https://philsf-biostat.github.io/SAR-2023-016-BH/</w:t>
        </w:r>
      </w:hyperlink>
    </w:p>
    <w:p>
      <w:pPr>
        <w:pStyle w:val="Heading2"/>
        <w:rPr/>
      </w:pPr>
      <w:bookmarkStart w:id="40" w:name="__RefHeading___Toc7922_1018527687"/>
      <w:bookmarkEnd w:id="40"/>
      <w:r>
        <w:rPr/>
        <w:t>Associated analyses</w:t>
      </w:r>
    </w:p>
    <w:p>
      <w:pPr>
        <w:pStyle w:val="FirstParagraph"/>
        <w:rPr/>
      </w:pPr>
      <w:r>
        <w:rPr/>
        <w:t>This analysis is part of a larger project and is supported by other analyses, linked below.</w:t>
      </w:r>
    </w:p>
    <w:p>
      <w:pPr>
        <w:pStyle w:val="BodyText"/>
        <w:rPr/>
      </w:pPr>
      <w:r>
        <w:rPr>
          <w:b/>
          <w:bCs/>
        </w:rPr>
        <w:t>Effect of socioeconomic status in mortality rates after brain injury: cohort study</w:t>
      </w:r>
    </w:p>
    <w:p>
      <w:pPr>
        <w:pStyle w:val="BodyText"/>
        <w:rPr/>
      </w:pPr>
      <w:hyperlink r:id="rId21">
        <w:r>
          <w:rPr>
            <w:rStyle w:val="Hyperlink"/>
          </w:rPr>
          <w:t>https://philsf-biostat.github.io/SAR-2023-004-BH/</w:t>
        </w:r>
      </w:hyperlink>
    </w:p>
    <w:p>
      <w:pPr>
        <w:pStyle w:val="BodyText"/>
        <w:rPr/>
      </w:pPr>
      <w:r>
        <w:rPr>
          <w:b/>
          <w:bCs/>
        </w:rPr>
        <w:t>Sensitivity of mortality rates to the imputation of missing socioeconomic data: cohort study</w:t>
      </w:r>
    </w:p>
    <w:p>
      <w:pPr>
        <w:pStyle w:val="BodyText"/>
        <w:rPr/>
      </w:pPr>
      <w:hyperlink r:id="rId22">
        <w:bookmarkStart w:id="41" w:name="associated-analyses"/>
        <w:r>
          <w:rPr>
            <w:rStyle w:val="Hyperlink"/>
          </w:rPr>
          <w:t>https://philsf-biostat.github.io/SAR-2023-017-BH/</w:t>
        </w:r>
      </w:hyperlink>
      <w:bookmarkEnd w:id="41"/>
    </w:p>
    <w:p>
      <w:pPr>
        <w:pStyle w:val="Heading2"/>
        <w:rPr/>
      </w:pPr>
      <w:bookmarkStart w:id="42" w:name="__RefHeading___Toc7924_1018527687"/>
      <w:bookmarkEnd w:id="42"/>
      <w:r>
        <w:rPr/>
        <w:t>Analytical dataset</w:t>
      </w:r>
    </w:p>
    <w:p>
      <w:pPr>
        <w:pStyle w:val="FirstParagraph"/>
        <w:rPr/>
      </w:pPr>
      <w:r>
        <w:rPr/>
        <w:t>Table A2 shows the structure of the analytical dataset.</w:t>
      </w:r>
    </w:p>
    <w:p>
      <w:pPr>
        <w:pStyle w:val="TableCaption"/>
        <w:rPr/>
      </w:pPr>
      <w:r>
        <w:rPr>
          <w:b/>
          <w:bCs/>
        </w:rPr>
        <w:t>Table A2</w:t>
      </w:r>
      <w:r>
        <w:rPr/>
        <w:t xml:space="preserve"> Analytical dataset structure</w:t>
      </w:r>
    </w:p>
    <w:tbl>
      <w:tblPr>
        <w:tblStyle w:val="Table"/>
        <w:tblW w:w="9746"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218"/>
        <w:gridCol w:w="467"/>
        <w:gridCol w:w="426"/>
        <w:gridCol w:w="301"/>
        <w:gridCol w:w="301"/>
        <w:gridCol w:w="301"/>
        <w:gridCol w:w="260"/>
        <w:gridCol w:w="260"/>
        <w:gridCol w:w="550"/>
        <w:gridCol w:w="508"/>
        <w:gridCol w:w="550"/>
        <w:gridCol w:w="426"/>
        <w:gridCol w:w="508"/>
        <w:gridCol w:w="260"/>
        <w:gridCol w:w="343"/>
        <w:gridCol w:w="508"/>
        <w:gridCol w:w="384"/>
        <w:gridCol w:w="674"/>
        <w:gridCol w:w="426"/>
        <w:gridCol w:w="426"/>
        <w:gridCol w:w="715"/>
        <w:gridCol w:w="467"/>
        <w:gridCol w:w="467"/>
      </w:tblGrid>
      <w:tr>
        <w:trPr/>
        <w:tc>
          <w:tcPr>
            <w:tcW w:w="218"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id</w:t>
            </w:r>
          </w:p>
        </w:tc>
        <w:tc>
          <w:tcPr>
            <w:tcW w:w="467"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exposure</w:t>
            </w:r>
          </w:p>
        </w:tc>
        <w:tc>
          <w:tcPr>
            <w:tcW w:w="42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outcome</w:t>
            </w:r>
          </w:p>
        </w:tc>
        <w:tc>
          <w:tcPr>
            <w:tcW w:w="30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Time</w:t>
            </w:r>
          </w:p>
        </w:tc>
        <w:tc>
          <w:tcPr>
            <w:tcW w:w="30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SexF</w:t>
            </w:r>
          </w:p>
        </w:tc>
        <w:tc>
          <w:tcPr>
            <w:tcW w:w="30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Race</w:t>
            </w:r>
          </w:p>
        </w:tc>
        <w:tc>
          <w:tcPr>
            <w:tcW w:w="26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Mar</w:t>
            </w:r>
          </w:p>
        </w:tc>
        <w:tc>
          <w:tcPr>
            <w:tcW w:w="26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AGE</w:t>
            </w:r>
          </w:p>
        </w:tc>
        <w:tc>
          <w:tcPr>
            <w:tcW w:w="55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PROBLEMUse</w:t>
            </w:r>
          </w:p>
        </w:tc>
        <w:tc>
          <w:tcPr>
            <w:tcW w:w="508"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EDUCATION</w:t>
            </w:r>
          </w:p>
        </w:tc>
        <w:tc>
          <w:tcPr>
            <w:tcW w:w="55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EMPLOYMENT</w:t>
            </w:r>
          </w:p>
        </w:tc>
        <w:tc>
          <w:tcPr>
            <w:tcW w:w="42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RURALdc</w:t>
            </w:r>
          </w:p>
        </w:tc>
        <w:tc>
          <w:tcPr>
            <w:tcW w:w="508"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PriorSeiz</w:t>
            </w:r>
          </w:p>
        </w:tc>
        <w:tc>
          <w:tcPr>
            <w:tcW w:w="26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SCI</w:t>
            </w:r>
          </w:p>
        </w:tc>
        <w:tc>
          <w:tcPr>
            <w:tcW w:w="343"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Cause</w:t>
            </w:r>
          </w:p>
        </w:tc>
        <w:tc>
          <w:tcPr>
            <w:tcW w:w="508"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RehabPay1</w:t>
            </w:r>
          </w:p>
        </w:tc>
        <w:tc>
          <w:tcPr>
            <w:tcW w:w="384"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ResDis</w:t>
            </w:r>
          </w:p>
        </w:tc>
        <w:tc>
          <w:tcPr>
            <w:tcW w:w="674"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DAYStoREHABdc</w:t>
            </w:r>
          </w:p>
        </w:tc>
        <w:tc>
          <w:tcPr>
            <w:tcW w:w="42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FIMMOTD</w:t>
            </w:r>
          </w:p>
        </w:tc>
        <w:tc>
          <w:tcPr>
            <w:tcW w:w="42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FIMCOGD</w:t>
            </w:r>
          </w:p>
        </w:tc>
        <w:tc>
          <w:tcPr>
            <w:tcW w:w="715"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FollowUpPeriod</w:t>
            </w:r>
          </w:p>
        </w:tc>
        <w:tc>
          <w:tcPr>
            <w:tcW w:w="467"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FIMMOTD4</w:t>
            </w:r>
          </w:p>
        </w:tc>
        <w:tc>
          <w:tcPr>
            <w:tcW w:w="467"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FIMCOGD4</w:t>
            </w:r>
          </w:p>
        </w:tc>
      </w:tr>
      <w:tr>
        <w:trPr/>
        <w:tc>
          <w:tcPr>
            <w:tcW w:w="2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t>1</w:t>
            </w:r>
          </w:p>
        </w:tc>
        <w:tc>
          <w:tcPr>
            <w:tcW w:w="467"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43"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67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715"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7"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7"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r>
      <w:tr>
        <w:trPr/>
        <w:tc>
          <w:tcPr>
            <w:tcW w:w="2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t>2</w:t>
            </w:r>
          </w:p>
        </w:tc>
        <w:tc>
          <w:tcPr>
            <w:tcW w:w="467"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43"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67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715"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7"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7"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r>
      <w:tr>
        <w:trPr/>
        <w:tc>
          <w:tcPr>
            <w:tcW w:w="2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t>3</w:t>
            </w:r>
          </w:p>
        </w:tc>
        <w:tc>
          <w:tcPr>
            <w:tcW w:w="467"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43"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67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715"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7"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7"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r>
      <w:tr>
        <w:trPr/>
        <w:tc>
          <w:tcPr>
            <w:tcW w:w="2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t>…</w:t>
            </w:r>
          </w:p>
        </w:tc>
        <w:tc>
          <w:tcPr>
            <w:tcW w:w="467"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43"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67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715"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7"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7"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r>
      <w:tr>
        <w:trPr/>
        <w:tc>
          <w:tcPr>
            <w:tcW w:w="2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t>N</w:t>
            </w:r>
          </w:p>
        </w:tc>
        <w:tc>
          <w:tcPr>
            <w:tcW w:w="467"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0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6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43"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0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67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2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715"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7"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7"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r>
    </w:tbl>
    <w:p>
      <w:pPr>
        <w:pStyle w:val="BodyText"/>
        <w:spacing w:before="180" w:after="180"/>
        <w:rPr/>
      </w:pPr>
      <w:bookmarkStart w:id="43" w:name="analytical-dataset"/>
      <w:bookmarkStart w:id="44" w:name="appendix"/>
      <w:r>
        <w:rPr/>
        <w:t>Due to confidentiality the data-set used in this analysis cannot be shared online in the public version of this report.</w:t>
      </w:r>
      <w:bookmarkEnd w:id="43"/>
      <w:bookmarkEnd w:id="44"/>
    </w:p>
    <w:sectPr>
      <w:headerReference w:type="default" r:id="rId23"/>
      <w:footerReference w:type="default" r:id="rId24"/>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Ubuntu Mono">
    <w:charset w:val="01"/>
    <w:family w:val="auto"/>
    <w:pitch w:val="fixed"/>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21"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2"/>
      <w:gridCol w:w="637"/>
      <w:gridCol w:w="183"/>
      <w:gridCol w:w="1059"/>
    </w:tblGrid>
    <w:tr>
      <w:trPr/>
      <w:tc>
        <w:tcPr>
          <w:tcW w:w="4540" w:type="dxa"/>
          <w:tcBorders/>
          <w:vAlign w:val="center"/>
        </w:tcPr>
        <w:p>
          <w:pPr>
            <w:pStyle w:val="CabealhoeRodap"/>
            <w:widowControl w:val="false"/>
            <w:spacing w:before="57" w:after="85"/>
            <w:ind w:hanging="0" w:left="0" w:right="0"/>
            <w:jc w:val="center"/>
            <w:rPr>
              <w:rFonts w:ascii="Ubuntu" w:hAnsi="Ubuntu" w:eastAsia="Cambria" w:cs="" w:cstheme="minorBidi" w:eastAsiaTheme="minorHAnsi"/>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hanging="0" w:left="0" w:right="0"/>
            <w:jc w:val="center"/>
            <w:rPr>
              <w:rFonts w:ascii="Ubuntu" w:hAnsi="Ubuntu" w:eastAsia="Cambria" w:cs="" w:cstheme="minorBidi" w:eastAsiaTheme="minorHAnsi"/>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en-US" w:eastAsia="en-US" w:bidi="ar-SA"/>
            </w:rPr>
          </w:pPr>
          <w:r>
            <w:rPr>
              <w:lang w:val="en-US" w:eastAsia="en-US" w:bidi="ar-SA"/>
            </w:rPr>
          </w:r>
        </w:p>
      </w:tc>
      <w:tc>
        <w:tcPr>
          <w:tcW w:w="1633" w:type="dxa"/>
          <w:tcBorders/>
          <w:vAlign w:val="center"/>
        </w:tcPr>
        <w:p>
          <w:pPr>
            <w:pStyle w:val="Textoprformatado"/>
            <w:widowControl w:val="false"/>
            <w:jc w:val="center"/>
            <w:rPr>
              <w:b/>
              <w:bCs/>
              <w:lang w:val="en-US" w:eastAsia="en-US" w:bidi="ar-SA"/>
            </w:rPr>
          </w:pPr>
          <w:r>
            <w:rPr>
              <w:b/>
              <w:bCs/>
              <w:lang w:val="en-US" w:eastAsia="en-US" w:bidi="ar-SA"/>
            </w:rPr>
            <w:t>SA</w:t>
          </w:r>
          <w:r>
            <w:rPr>
              <w:rFonts w:eastAsia="Liberation Mono" w:cs="Liberation Mono"/>
              <w:b/>
              <w:bCs/>
              <w:color w:val="auto"/>
              <w:kern w:val="0"/>
              <w:sz w:val="24"/>
              <w:szCs w:val="20"/>
              <w:lang w:val="en-US"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Cs/>
              <w:color w:val="auto"/>
              <w:kern w:val="0"/>
              <w:sz w:val="20"/>
              <w:szCs w:val="24"/>
              <w:lang w:val="en-US" w:eastAsia="en-US" w:bidi="ar-SA"/>
            </w:rPr>
          </w:pPr>
          <w:r>
            <w:rPr>
              <w:rFonts w:eastAsia="Cambria" w:cs="" w:cstheme="minorBidi" w:eastAsiaTheme="minorHAnsi" w:ascii="Arial" w:hAnsi="Arial"/>
              <w:b/>
              <w:bCs/>
              <w:color w:val="auto"/>
              <w:kern w:val="0"/>
              <w:sz w:val="20"/>
              <w:szCs w:val="24"/>
              <w:lang w:val="en-US" w:eastAsia="en-US" w:bidi="ar-SA"/>
            </w:rPr>
          </w:r>
        </w:p>
      </w:tc>
      <w:tc>
        <w:tcPr>
          <w:tcW w:w="974"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Version</w:t>
          </w:r>
        </w:p>
        <w:p>
          <w:pPr>
            <w:pStyle w:val="CabealhoeRodap"/>
            <w:widowControl w:val="false"/>
            <w:jc w:val="center"/>
            <w:rPr>
              <w:rFonts w:ascii="Arial" w:hAnsi="Arial" w:eastAsia="Cambria" w:cs="" w:cstheme="minorBidi" w:eastAsiaTheme="minorHAnsi"/>
              <w:b w:val="false"/>
              <w:bCs w:val="false"/>
              <w:color w:val="auto"/>
              <w:kern w:val="0"/>
              <w:sz w:val="20"/>
              <w:szCs w:val="24"/>
              <w:lang w:val="en-US" w:eastAsia="en-US" w:bidi="ar-SA"/>
            </w:rPr>
          </w:pPr>
          <w:r>
            <w:rPr>
              <w:rFonts w:eastAsia="Cambria" w:cs="" w:cstheme="minorBidi" w:eastAsiaTheme="minorHAnsi" w:ascii="Arial" w:hAnsi="Arial"/>
              <w:b w:val="false"/>
              <w:bCs w:val="false"/>
              <w:color w:val="auto"/>
              <w:kern w:val="0"/>
              <w:sz w:val="20"/>
              <w:szCs w:val="24"/>
              <w:lang w:val="en-US" w:eastAsia="en-US" w:bidi="ar-SA"/>
            </w:rPr>
          </w:r>
        </w:p>
        <w:p>
          <w:pPr>
            <w:pStyle w:val="Textoprformatado"/>
            <w:widowControl w:val="false"/>
            <w:jc w:val="center"/>
            <w:rPr>
              <w:lang w:val="en-US" w:eastAsia="en-US" w:bidi="ar-SA"/>
            </w:rPr>
          </w:pPr>
          <w:r>
            <w:rPr>
              <w:lang w:val="en-US" w:eastAsia="en-US" w:bidi="ar-SA"/>
            </w:rPr>
            <w:t>1</w:t>
          </w:r>
        </w:p>
      </w:tc>
      <w:tc>
        <w:tcPr>
          <w:tcW w:w="202" w:type="dxa"/>
          <w:tcBorders/>
          <w:vAlign w:val="center"/>
        </w:tcPr>
        <w:p>
          <w:pPr>
            <w:pStyle w:val="CabealhoeRodap"/>
            <w:widowControl w:val="false"/>
            <w:jc w:val="center"/>
            <w:rPr>
              <w:lang w:val="en-US" w:eastAsia="en-US" w:bidi="ar-SA"/>
            </w:rPr>
          </w:pPr>
          <w:r>
            <w:rPr>
              <w:lang w:val="en-US" w:eastAsia="en-US" w:bidi="ar-SA"/>
            </w:rPr>
          </w:r>
        </w:p>
      </w:tc>
      <w:tc>
        <w:tcPr>
          <w:tcW w:w="637"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Year</w:t>
          </w:r>
        </w:p>
        <w:p>
          <w:pPr>
            <w:pStyle w:val="CabealhoeRodap"/>
            <w:widowControl w:val="false"/>
            <w:jc w:val="center"/>
            <w:rPr>
              <w:lang w:val="en-US" w:eastAsia="en-US" w:bidi="ar-SA"/>
            </w:rPr>
          </w:pPr>
          <w:r>
            <w:rPr>
              <w:lang w:val="en-US" w:eastAsia="en-US" w:bidi="ar-SA"/>
            </w:rPr>
          </w:r>
        </w:p>
        <w:p>
          <w:pPr>
            <w:pStyle w:val="Textoprformatado"/>
            <w:widowControl w:val="false"/>
            <w:jc w:val="center"/>
            <w:rPr>
              <w:lang w:val="en-US" w:eastAsia="en-US" w:bidi="ar-SA"/>
            </w:rPr>
          </w:pPr>
          <w:r>
            <w:rPr/>
            <w:fldChar w:fldCharType="begin"/>
          </w:r>
          <w:r>
            <w:rPr/>
            <w:instrText xml:space="preserve"> DATE \@"yyyy" </w:instrText>
          </w:r>
          <w:r>
            <w:rPr/>
            <w:fldChar w:fldCharType="separate"/>
          </w:r>
          <w:r>
            <w:rPr/>
            <w:t>2023</w:t>
          </w:r>
          <w:r>
            <w:rPr/>
            <w:fldChar w:fldCharType="end"/>
          </w:r>
        </w:p>
      </w:tc>
      <w:tc>
        <w:tcPr>
          <w:tcW w:w="183" w:type="dxa"/>
          <w:tcBorders/>
          <w:vAlign w:val="center"/>
        </w:tcPr>
        <w:p>
          <w:pPr>
            <w:pStyle w:val="CabealhoeRodap"/>
            <w:widowControl w:val="false"/>
            <w:jc w:val="center"/>
            <w:rPr>
              <w:b/>
              <w:bCs/>
              <w:lang w:val="en-US" w:eastAsia="en-US" w:bidi="ar-SA"/>
            </w:rPr>
          </w:pPr>
          <w:r>
            <w:rPr>
              <w:b/>
              <w:bCs/>
              <w:lang w:val="en-US" w:eastAsia="en-US" w:bidi="ar-SA"/>
            </w:rPr>
          </w:r>
        </w:p>
      </w:tc>
      <w:tc>
        <w:tcPr>
          <w:tcW w:w="1059"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Page</w:t>
          </w:r>
        </w:p>
        <w:p>
          <w:pPr>
            <w:pStyle w:val="CabealhoeRodap"/>
            <w:widowControl w:val="false"/>
            <w:jc w:val="center"/>
            <w:rPr>
              <w:lang w:val="en-US" w:eastAsia="en-US" w:bidi="ar-SA"/>
            </w:rPr>
          </w:pPr>
          <w:r>
            <w:rPr>
              <w:lang w:val="en-US" w:eastAsia="en-US" w:bidi="ar-SA"/>
            </w:rPr>
          </w:r>
        </w:p>
        <w:p>
          <w:pPr>
            <w:pStyle w:val="Textoprformatado"/>
            <w:widowControl w:val="false"/>
            <w:jc w:val="center"/>
            <w:rPr>
              <w:lang w:val="en-US" w:eastAsia="en-US" w:bidi="ar-SA"/>
            </w:rPr>
          </w:pPr>
          <w:r>
            <w:rPr>
              <w:lang w:val="en-US" w:eastAsia="en-US" w:bidi="ar-SA"/>
            </w:rPr>
            <w:fldChar w:fldCharType="begin"/>
          </w:r>
          <w:r>
            <w:rPr>
              <w:lang w:val="en-US" w:eastAsia="en-US" w:bidi="ar-SA"/>
            </w:rPr>
            <w:instrText xml:space="preserve"> PAGE </w:instrText>
          </w:r>
          <w:r>
            <w:rPr>
              <w:lang w:val="en-US" w:eastAsia="en-US" w:bidi="ar-SA"/>
            </w:rPr>
            <w:fldChar w:fldCharType="separate"/>
          </w:r>
          <w:r>
            <w:rPr>
              <w:lang w:val="en-US" w:eastAsia="en-US" w:bidi="ar-SA"/>
            </w:rPr>
            <w:t>28</w:t>
          </w:r>
          <w:r>
            <w:rPr>
              <w:lang w:val="en-US" w:eastAsia="en-US" w:bidi="ar-SA"/>
            </w:rPr>
            <w:fldChar w:fldCharType="end"/>
          </w:r>
          <w:r>
            <w:rPr>
              <w:lang w:val="en-US" w:eastAsia="en-US" w:bidi="ar-SA"/>
            </w:rPr>
            <w:t xml:space="preserve"> </w:t>
          </w:r>
          <w:r>
            <w:rPr>
              <w:lang w:val="en-US" w:eastAsia="en-US" w:bidi="ar-SA"/>
            </w:rPr>
            <w:t xml:space="preserve">/ </w:t>
          </w:r>
          <w:r>
            <w:rPr>
              <w:lang w:val="en-US" w:eastAsia="en-US" w:bidi="ar-SA"/>
            </w:rPr>
            <w:fldChar w:fldCharType="begin"/>
          </w:r>
          <w:r>
            <w:rPr>
              <w:lang w:val="en-US" w:eastAsia="en-US" w:bidi="ar-SA"/>
            </w:rPr>
            <w:instrText xml:space="preserve"> NUMPAGES </w:instrText>
          </w:r>
          <w:r>
            <w:rPr>
              <w:lang w:val="en-US" w:eastAsia="en-US" w:bidi="ar-SA"/>
            </w:rPr>
            <w:fldChar w:fldCharType="separate"/>
          </w:r>
          <w:r>
            <w:rPr>
              <w:lang w:val="en-US" w:eastAsia="en-US" w:bidi="ar-SA"/>
            </w:rPr>
            <w:t>28</w:t>
          </w:r>
          <w:r>
            <w:rPr>
              <w:lang w:val="en-US"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Consulting in Medical Statistics and Clinical Epidemiology</w:t>
          </w:r>
        </w:p>
      </w:tc>
    </w:tr>
    <w:tr>
      <w:trPr/>
      <w:tc>
        <w:tcPr>
          <w:tcW w:w="9638" w:type="dxa"/>
          <w:tcBorders/>
          <w:vAlign w:val="center"/>
        </w:tcPr>
        <w:p>
          <w:pPr>
            <w:pStyle w:val="CabealhoeRodap"/>
            <w:widowControl w:val="false"/>
            <w:rPr>
              <w:lang w:val="en-US" w:eastAsia="en-US" w:bidi="ar-SA"/>
            </w:rPr>
          </w:pPr>
          <w:r>
            <w:rPr>
              <w:lang w:val="en-US" w:eastAsia="en-US" w:bidi="ar-SA"/>
            </w:rPr>
          </w:r>
        </w:p>
      </w:tc>
    </w:tr>
    <w:tr>
      <w:trPr/>
      <w:tc>
        <w:tcPr>
          <w:tcW w:w="9638" w:type="dxa"/>
          <w:tcBorders/>
          <w:vAlign w:val="center"/>
        </w:tcPr>
        <w:p>
          <w:pPr>
            <w:pStyle w:val="CabealhoeRodap"/>
            <w:widowControl w:val="false"/>
            <w:rPr>
              <w:b/>
              <w:bCs/>
              <w:lang w:val="en-US" w:eastAsia="en-US" w:bidi="ar-SA"/>
            </w:rPr>
          </w:pPr>
          <w:r>
            <w:rPr>
              <w:rFonts w:eastAsia="Cambria" w:cs="" w:cstheme="minorBidi" w:eastAsiaTheme="minorHAnsi"/>
              <w:b/>
              <w:bCs/>
              <w:color w:val="auto"/>
              <w:kern w:val="0"/>
              <w:sz w:val="20"/>
              <w:szCs w:val="24"/>
              <w:lang w:val="en-US" w:eastAsia="en-US" w:bidi="ar-SA"/>
            </w:rPr>
            <w:t xml:space="preserve">Statistical Analysis Report </w:t>
          </w:r>
          <w:r>
            <w:rPr>
              <w:b/>
              <w:bCs/>
              <w:lang w:val="en-US" w:eastAsia="en-US" w:bidi="ar-SA"/>
            </w:rPr>
            <w:t>(SA</w:t>
          </w:r>
          <w:r>
            <w:rPr>
              <w:rFonts w:eastAsia="Cambria" w:cs="" w:cstheme="minorBidi" w:eastAsiaTheme="minorHAnsi"/>
              <w:b/>
              <w:bCs/>
              <w:color w:val="auto"/>
              <w:kern w:val="0"/>
              <w:sz w:val="20"/>
              <w:szCs w:val="24"/>
              <w:lang w:val="en-US" w:eastAsia="en-US" w:bidi="ar-SA"/>
            </w:rPr>
            <w:t>R</w:t>
          </w:r>
          <w:r>
            <w:rPr>
              <w:b/>
              <w:bCs/>
              <w:lang w:val="en-US"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shape_0" adj="10800" fillcolor="silver" stroked="f" o:allowincell="f" style="position:absolute;margin-left:7.8pt;margin-top:214.8pt;width:466.35pt;height:164.15pt;mso-wrap-style:none;v-text-anchor:middle;rotation:315;mso-position-horizontal:center;mso-position-horizontal-relative:margin;mso-position-vertical:center;mso-position-vertical-relative:margin" type="_x0000_t136">
          <v:path textpathok="t"/>
          <v:textpath on="t" fitshape="t" string="DRAFT" style="font-family:&quot;Ubuntu&quot;;font-size:1pt" trim="t"/>
          <v:fill o:detectmouseclick="t" type="solid" color2="#3f3f3f" opacity="0.5"/>
          <v:stroke color="#3465a4" joinstyle="round" endcap="flat"/>
          <w10:wrap type="none"/>
        </v:shape>
      </w:pict>
      <mc:AlternateContent>
        <mc:Choice Requires="wps">
          <w:drawing>
            <wp:inline distT="0" distB="0" distL="0" distR="0">
              <wp:extent cx="6136005" cy="34925"/>
              <wp:effectExtent l="0" t="0" r="0" b="0"/>
              <wp:docPr id="20" name="Shape3"/>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3"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BodyText"/>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BodyText"/>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BodyText"/>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BodyText"/>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themeColor="accent1" w:val="4F81BD"/>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Hyperlink">
    <w:name w:val="Hyperlink"/>
    <w:rPr>
      <w:color w:val="000080"/>
      <w:u w:val="single"/>
      <w:lang w:val="zxx" w:eastAsia="zxx" w:bidi="zxx"/>
    </w:rPr>
  </w:style>
  <w:style w:type="character" w:styleId="IndexLink">
    <w:name w:val="Index Link"/>
    <w:qFormat/>
    <w:rPr/>
  </w:style>
  <w:style w:type="paragraph" w:styleId="Heading">
    <w:name w:val="Heading"/>
    <w:basedOn w:val="Normal"/>
    <w:next w:val="BodyText"/>
    <w:qFormat/>
    <w:pPr>
      <w:keepNext w:val="true"/>
      <w:spacing w:before="240" w:after="120"/>
    </w:pPr>
    <w:rPr>
      <w:rFonts w:ascii="Ubuntu" w:hAnsi="Ubuntu" w:eastAsia="Noto Sans CJK SC" w:cs="Lohit Devanagari"/>
      <w:sz w:val="28"/>
      <w:szCs w:val="28"/>
    </w:rPr>
  </w:style>
  <w:style w:type="paragraph" w:styleId="BodyText">
    <w:name w:val="Body Text"/>
    <w:basedOn w:val="Normal"/>
    <w:link w:val="BodyTextChar"/>
    <w:qFormat/>
    <w:pPr>
      <w:spacing w:before="180" w:after="180"/>
    </w:pPr>
    <w:rPr>
      <w:rFonts w:ascii="Ubuntu" w:hAnsi="Ubuntu"/>
    </w:rPr>
  </w:style>
  <w:style w:type="paragraph" w:styleId="List">
    <w:name w:val="List"/>
    <w:basedOn w:val="BodyText"/>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BodyText"/>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0" w:after="0"/>
    </w:pPr>
    <w:rPr>
      <w:rFonts w:ascii="Ubuntu" w:hAnsi="Ubuntu"/>
    </w:rPr>
  </w:style>
  <w:style w:type="paragraph" w:styleId="Title">
    <w:name w:val="Title"/>
    <w:basedOn w:val="Normal"/>
    <w:next w:val="BodyText"/>
    <w:qFormat/>
    <w:pPr>
      <w:keepNext w:val="true"/>
      <w:keepLines/>
      <w:spacing w:before="480" w:after="240"/>
      <w:jc w:val="center"/>
    </w:pPr>
    <w:rPr>
      <w:rFonts w:ascii="Ubuntu" w:hAnsi="Ubuntu" w:eastAsia="" w:cs="" w:cstheme="majorBidi" w:eastAsiaTheme="majorEastAsia"/>
      <w:b/>
      <w:bCs/>
      <w:color w:val="000000"/>
      <w:sz w:val="32"/>
      <w:szCs w:val="36"/>
    </w:rPr>
  </w:style>
  <w:style w:type="paragraph" w:styleId="Subtitle">
    <w:name w:val="Subtitle"/>
    <w:basedOn w:val="Title"/>
    <w:next w:val="BodyText"/>
    <w:qFormat/>
    <w:pPr>
      <w:keepNext w:val="true"/>
      <w:keepLines/>
      <w:spacing w:before="240" w:after="240"/>
      <w:jc w:val="center"/>
    </w:pPr>
    <w:rPr>
      <w:rFonts w:ascii="Ubuntu" w:hAnsi="Ubuntu"/>
      <w:color w:val="000000"/>
      <w:sz w:val="20"/>
      <w:szCs w:val="30"/>
    </w:rPr>
  </w:style>
  <w:style w:type="paragraph" w:styleId="Author" w:customStyle="1">
    <w:name w:val="Author"/>
    <w:next w:val="BodyText"/>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BodyText"/>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BodyText"/>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hanging="0" w:left="0"/>
      <w:jc w:val="center"/>
    </w:pPr>
    <w:rPr>
      <w:rFonts w:ascii="Ubuntu" w:hAnsi="Ubuntu"/>
      <w:b/>
      <w:bCs/>
      <w:caps/>
      <w:sz w:val="32"/>
      <w:szCs w:val="32"/>
    </w:rPr>
  </w:style>
  <w:style w:type="paragraph" w:styleId="TOCHeading">
    <w:name w:val="TOC Heading"/>
    <w:basedOn w:val="Heading1"/>
    <w:next w:val="BodyText"/>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hanging="0" w:left="0"/>
    </w:pPr>
    <w:rPr>
      <w:b/>
      <w:bCs/>
      <w:sz w:val="32"/>
      <w:szCs w:val="32"/>
    </w:rPr>
  </w:style>
  <w:style w:type="paragraph" w:styleId="TOC1">
    <w:name w:val="TOC 1"/>
    <w:basedOn w:val="Ndice"/>
    <w:pPr>
      <w:tabs>
        <w:tab w:val="clear" w:pos="720"/>
        <w:tab w:val="right" w:pos="9360" w:leader="dot"/>
      </w:tabs>
      <w:spacing w:before="0" w:after="0"/>
      <w:ind w:hanging="0" w:left="0"/>
    </w:pPr>
    <w:rPr>
      <w:rFonts w:ascii="Ubuntu" w:hAnsi="Ubuntu"/>
      <w:caps/>
      <w:sz w:val="20"/>
    </w:rPr>
  </w:style>
  <w:style w:type="paragraph" w:styleId="TOC2">
    <w:name w:val="TOC 2"/>
    <w:basedOn w:val="Ndice"/>
    <w:pPr>
      <w:tabs>
        <w:tab w:val="clear" w:pos="720"/>
        <w:tab w:val="right" w:pos="9077" w:leader="dot"/>
      </w:tabs>
      <w:spacing w:before="0" w:after="0"/>
      <w:ind w:hanging="0" w:left="283"/>
    </w:pPr>
    <w:rPr>
      <w:rFonts w:ascii="Ubuntu" w:hAnsi="Ubuntu"/>
      <w:sz w:val="20"/>
    </w:rPr>
  </w:style>
  <w:style w:type="paragraph" w:styleId="TOC3">
    <w:name w:val="TOC 3"/>
    <w:basedOn w:val="Ndice"/>
    <w:pPr>
      <w:tabs>
        <w:tab w:val="clear" w:pos="720"/>
        <w:tab w:val="right" w:pos="8794" w:leader="dot"/>
      </w:tabs>
      <w:spacing w:before="0" w:after="0"/>
      <w:ind w:hanging="0" w:left="566"/>
    </w:pPr>
    <w:rPr>
      <w:rFonts w:ascii="Ubuntu" w:hAnsi="Ubuntu"/>
      <w:sz w:val="20"/>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hanging="0" w:left="2547"/>
    </w:pPr>
    <w:rPr>
      <w:rFonts w:ascii="Ubuntu" w:hAnsi="Ubuntu"/>
      <w:sz w:val="20"/>
    </w:rPr>
  </w:style>
  <w:style w:type="paragraph" w:styleId="TOC9">
    <w:name w:val="TOC 9"/>
    <w:basedOn w:val="Ndice"/>
    <w:pPr>
      <w:tabs>
        <w:tab w:val="clear" w:pos="720"/>
        <w:tab w:val="right" w:pos="7096" w:leader="dot"/>
      </w:tabs>
      <w:ind w:hanging="0" w:left="2264"/>
    </w:pPr>
    <w:rPr>
      <w:rFonts w:ascii="Ubuntu" w:hAnsi="Ubuntu"/>
      <w:sz w:val="20"/>
    </w:rPr>
  </w:style>
  <w:style w:type="paragraph" w:styleId="TOC8">
    <w:name w:val="TOC 8"/>
    <w:basedOn w:val="Ndice"/>
    <w:pPr>
      <w:tabs>
        <w:tab w:val="clear" w:pos="720"/>
        <w:tab w:val="right" w:pos="7379" w:leader="dot"/>
      </w:tabs>
      <w:ind w:hanging="0" w:left="1981"/>
    </w:pPr>
    <w:rPr>
      <w:rFonts w:ascii="Ubuntu" w:hAnsi="Ubuntu"/>
      <w:sz w:val="20"/>
    </w:rPr>
  </w:style>
  <w:style w:type="paragraph" w:styleId="TOC7">
    <w:name w:val="TOC 7"/>
    <w:basedOn w:val="Ndice"/>
    <w:pPr>
      <w:tabs>
        <w:tab w:val="clear" w:pos="720"/>
        <w:tab w:val="right" w:pos="7662" w:leader="dot"/>
      </w:tabs>
      <w:ind w:hanging="0" w:left="1698"/>
    </w:pPr>
    <w:rPr>
      <w:rFonts w:ascii="Ubuntu" w:hAnsi="Ubuntu"/>
      <w:sz w:val="20"/>
    </w:rPr>
  </w:style>
  <w:style w:type="paragraph" w:styleId="TOC6">
    <w:name w:val="TOC 6"/>
    <w:basedOn w:val="Ndice"/>
    <w:pPr>
      <w:tabs>
        <w:tab w:val="clear" w:pos="720"/>
        <w:tab w:val="right" w:pos="7945" w:leader="dot"/>
      </w:tabs>
      <w:ind w:hanging="0" w:left="1415"/>
    </w:pPr>
    <w:rPr>
      <w:rFonts w:ascii="Ubuntu" w:hAnsi="Ubuntu"/>
      <w:sz w:val="20"/>
    </w:rPr>
  </w:style>
  <w:style w:type="paragraph" w:styleId="TOC5">
    <w:name w:val="TOC 5"/>
    <w:basedOn w:val="Ndice"/>
    <w:pPr>
      <w:tabs>
        <w:tab w:val="clear" w:pos="720"/>
        <w:tab w:val="right" w:pos="8228" w:leader="dot"/>
      </w:tabs>
      <w:ind w:hanging="0" w:left="1132"/>
    </w:pPr>
    <w:rPr>
      <w:rFonts w:ascii="Ubuntu" w:hAnsi="Ubuntu"/>
      <w:sz w:val="20"/>
    </w:rPr>
  </w:style>
  <w:style w:type="paragraph" w:styleId="TOC4">
    <w:name w:val="TOC 4"/>
    <w:basedOn w:val="Ndice"/>
    <w:pPr>
      <w:tabs>
        <w:tab w:val="clear" w:pos="720"/>
        <w:tab w:val="right" w:pos="8511" w:leader="dot"/>
      </w:tabs>
      <w:ind w:hanging="0" w:left="849"/>
    </w:pPr>
    <w:rPr>
      <w:rFonts w:ascii="Ubuntu" w:hAnsi="Ubuntu"/>
      <w:sz w:val="20"/>
    </w:rPr>
  </w:style>
  <w:style w:type="paragraph" w:styleId="Ttulo10">
    <w:name w:val="Título 10"/>
    <w:basedOn w:val="Ttulo"/>
    <w:next w:val="BodyText"/>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hanging="0" w:left="0"/>
    </w:pPr>
    <w:rPr>
      <w:rFonts w:ascii="Ubuntu" w:hAnsi="Ubuntu"/>
      <w:b/>
      <w:bCs/>
      <w:caps/>
      <w:sz w:val="32"/>
      <w:szCs w:val="32"/>
    </w:rPr>
  </w:style>
  <w:style w:type="paragraph" w:styleId="Ttulodondicedetabelas">
    <w:name w:val="Título do índice de tabelas"/>
    <w:basedOn w:val="IndexHeading"/>
    <w:qFormat/>
    <w:pPr>
      <w:suppressLineNumbers/>
      <w:ind w:hanging="0" w:left="0"/>
    </w:pPr>
    <w:rPr>
      <w:rFonts w:ascii="Ubuntu" w:hAnsi="Ubuntu"/>
      <w:b/>
      <w:bCs/>
      <w:i w:val="false"/>
      <w:sz w:val="32"/>
      <w:szCs w:val="32"/>
    </w:rPr>
  </w:style>
  <w:style w:type="paragraph" w:styleId="Ttulodondicedeobjetos">
    <w:name w:val="Título do índice de objetos"/>
    <w:basedOn w:val="IndexHeading"/>
    <w:qFormat/>
    <w:pPr>
      <w:suppressLineNumbers/>
      <w:ind w:hanging="0" w:left="0"/>
    </w:pPr>
    <w:rPr>
      <w:rFonts w:ascii="Ubuntu" w:hAnsi="Ubuntu"/>
      <w:b/>
      <w:bCs/>
      <w:sz w:val="32"/>
      <w:szCs w:val="32"/>
    </w:rPr>
  </w:style>
  <w:style w:type="paragraph" w:styleId="Ttulodondicedefiguras">
    <w:name w:val="Título do índice de figuras"/>
    <w:basedOn w:val="IndexHeading"/>
    <w:qFormat/>
    <w:pPr>
      <w:suppressLineNumbers/>
      <w:ind w:hanging="0" w:left="0"/>
    </w:pPr>
    <w:rPr>
      <w:rFonts w:ascii="Ubuntu" w:hAnsi="Ubuntu"/>
      <w:b/>
      <w:bCs/>
      <w:i w:val="false"/>
      <w:sz w:val="32"/>
      <w:szCs w:val="32"/>
    </w:rPr>
  </w:style>
  <w:style w:type="paragraph" w:styleId="Citaes">
    <w:name w:val="Citações"/>
    <w:basedOn w:val="Normal"/>
    <w:qFormat/>
    <w:pPr>
      <w:spacing w:before="0" w:after="283"/>
      <w:ind w:hanging="0" w:left="567" w:right="567"/>
    </w:pPr>
    <w:rPr/>
  </w:style>
  <w:style w:type="paragraph" w:styleId="TableofAuthorities">
    <w:name w:val="Table of Authorities"/>
    <w:basedOn w:val="IndexHeading"/>
    <w:qFormat/>
    <w:pPr>
      <w:suppressLineNumbers/>
      <w:ind w:hanging="0" w:left="0"/>
    </w:pPr>
    <w:rPr>
      <w:b/>
      <w:bCs/>
      <w:sz w:val="28"/>
      <w:szCs w:val="32"/>
    </w:rPr>
  </w:style>
  <w:style w:type="paragraph" w:styleId="Tabela">
    <w:name w:val="Tabela"/>
    <w:basedOn w:val="Caption"/>
    <w:qFormat/>
    <w:pPr/>
    <w:rPr/>
  </w:style>
  <w:style w:type="paragraph" w:styleId="Closing">
    <w:name w:val="Closing"/>
    <w:basedOn w:val="Ttulo"/>
    <w:next w:val="BodyText"/>
    <w:qFormat/>
    <w:pPr>
      <w:jc w:val="center"/>
    </w:pPr>
    <w:rPr>
      <w:rFonts w:ascii="Ubuntu" w:hAnsi="Ubuntu"/>
      <w:b/>
      <w:bCs/>
      <w:sz w:val="32"/>
      <w:szCs w:val="32"/>
    </w:rPr>
  </w:style>
  <w:style w:type="paragraph" w:styleId="Contedodoquadro">
    <w:name w:val="Conteúdo do quadro"/>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equator-network.org/" TargetMode="External"/><Relationship Id="rId5" Type="http://schemas.openxmlformats.org/officeDocument/2006/relationships/hyperlink" Target="https://doi.org/10.1016/j.ijsu.2014.07.013"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s://philsf-biostat.github.io/SAR-2023-016-BH/" TargetMode="External"/><Relationship Id="rId21" Type="http://schemas.openxmlformats.org/officeDocument/2006/relationships/hyperlink" Target="https://philsf-biostat.github.io/SAR-2023-004-BH/" TargetMode="External"/><Relationship Id="rId22" Type="http://schemas.openxmlformats.org/officeDocument/2006/relationships/hyperlink" Target="https://philsf-biostat.github.io/SAR-2023-017-BH/"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106</TotalTime>
  <Application>LibreOffice/7.6.2.1$Linux_X86_64 LibreOffice_project/60$Build-1</Application>
  <AppVersion>15.0000</AppVersion>
  <Pages>28</Pages>
  <Words>2561</Words>
  <Characters>14091</Characters>
  <CharactersWithSpaces>15984</CharactersWithSpaces>
  <Paragraphs>764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2023-09-30T01:08:32Z</dcterms:created>
  <dc:creator>From: Felipe Figueiredo To: Brennan Hickson</dc:creator>
  <dc:description/>
  <dc:language>pt-BR</dc:language>
  <cp:lastModifiedBy/>
  <dcterms:modified xsi:type="dcterms:W3CDTF">2023-09-29T22:23:16Z</dcterms:modified>
  <cp:revision>3</cp:revision>
  <dc:subject/>
  <dc:title>Time-adjusted effect of socioeconomic status in mortality rates after brain injury: cohort study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2023-09-29</vt:lpwstr>
  </property>
  <property fmtid="{D5CDD505-2E9C-101B-9397-08002B2CF9AE}" pid="3" name="output">
    <vt:lpwstr/>
  </property>
  <property fmtid="{D5CDD505-2E9C-101B-9397-08002B2CF9AE}" pid="4" name="subtitle">
    <vt:lpwstr>DOCUMENT: SAR-2023-016-BH-v01</vt:lpwstr>
  </property>
</Properties>
</file>