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Sensitivity of mortality rates to the imputation of missing socioeconomic data: cohort study</w:t>
      </w:r>
    </w:p>
    <w:p>
      <w:pPr>
        <w:pStyle w:val="Subtitle"/>
        <w:rPr/>
      </w:pPr>
      <w:r>
        <w:rPr/>
        <w:t>DOCUMENT: SAR-2023-017-BH-v01</w:t>
      </w:r>
    </w:p>
    <w:p>
      <w:pPr>
        <w:pStyle w:val="Author"/>
        <w:rPr/>
      </w:pPr>
      <w:r>
        <w:rPr>
          <w:b/>
          <w:bCs/>
        </w:rPr>
        <w:t>From:</w:t>
      </w:r>
      <w:r>
        <w:rPr/>
        <w:t xml:space="preserve"> Felipe Figueiredo </w:t>
      </w:r>
      <w:r>
        <w:rPr>
          <w:b/>
          <w:bCs/>
        </w:rPr>
        <w:t>To:</w:t>
      </w:r>
      <w:r>
        <w:rPr/>
        <w:t xml:space="preserve"> Brennan Hickson</w:t>
      </w:r>
    </w:p>
    <w:p>
      <w:pPr>
        <w:pStyle w:val="Date"/>
        <w:rPr/>
      </w:pPr>
      <w:r>
        <w:rPr/>
        <w:t>2023-09-29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ind w:hanging="0" w:left="0"/>
            <w:rPr/>
          </w:pPr>
          <w:r>
            <w:rPr/>
            <w:t>Table of Contents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12013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612000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481.85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numPr>
              <w:ilvl w:val="0"/>
              <w:numId w:val="0"/>
            </w:numPr>
            <w:spacing w:lineRule="auto" w:line="259" w:before="240" w:after="0"/>
            <w:jc w:val="center"/>
            <w:rPr>
              <w:rFonts w:ascii="Ubuntu" w:hAnsi="Ubuntu" w:eastAsia="" w:cs="" w:cstheme="majorBidi" w:eastAsiaTheme="majorEastAsia"/>
              <w:b/>
              <w:bCs w:val="false"/>
              <w:color w:val="000000"/>
              <w:sz w:val="32"/>
            </w:rPr>
          </w:pPr>
          <w:r>
            <w:rPr>
              <w:rFonts w:eastAsia="" w:cs="" w:cstheme="majorBidi" w:eastAsiaTheme="majorEastAsia"/>
              <w:b/>
              <w:bCs w:val="false"/>
              <w:color w:val="000000"/>
              <w:sz w:val="32"/>
            </w:rPr>
            <w:t>Table of Contents</w:t>
          </w:r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\f \o "1-3" \h</w:instrText>
          </w:r>
          <w:r>
            <w:rPr>
              <w:rStyle w:val="IndexLink"/>
            </w:rPr>
            <w:fldChar w:fldCharType="separate"/>
          </w:r>
          <w:hyperlink w:anchor="__RefHeading___Toc16969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1 Abbreviations</w:t>
              <w:tab/>
              <w:t>2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16971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 Context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6973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2.1 Objectives</w:t>
              <w:tab/>
              <w:t>2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16975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3 Methods</w:t>
              <w:tab/>
              <w:t>2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16977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 Results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6979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4.1 Study population and follow up</w:t>
              <w:tab/>
              <w:t>2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6981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4.2 Inferential analysis</w:t>
              <w:tab/>
              <w:t>3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16983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5 Observations and Limitations</w:t>
              <w:tab/>
              <w:t>5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16985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6 Conclusions</w:t>
              <w:tab/>
              <w:t>5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16987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7 References</w:t>
              <w:tab/>
              <w:t>5</w:t>
            </w:r>
          </w:hyperlink>
        </w:p>
        <w:p>
          <w:pPr>
            <w:pStyle w:val="TOC1"/>
            <w:tabs>
              <w:tab w:val="clear" w:pos="9360"/>
              <w:tab w:val="right" w:pos="9638" w:leader="dot"/>
            </w:tabs>
            <w:rPr/>
          </w:pPr>
          <w:hyperlink w:anchor="__RefHeading___Toc16989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8 Appendix</w:t>
              <w:tab/>
              <w:t>5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6991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8.1 Exploratory data analysis</w:t>
              <w:tab/>
              <w:t>5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6993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8.2 Availability</w:t>
              <w:tab/>
              <w:t>5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6995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8.3 Associated analyses</w:t>
              <w:tab/>
              <w:t>6</w:t>
            </w:r>
          </w:hyperlink>
        </w:p>
        <w:p>
          <w:pPr>
            <w:pStyle w:val="TOC2"/>
            <w:tabs>
              <w:tab w:val="clear" w:pos="9077"/>
              <w:tab w:val="right" w:pos="9638" w:leader="dot"/>
            </w:tabs>
            <w:rPr/>
          </w:pPr>
          <w:hyperlink w:anchor="__RefHeading___Toc16997_1018527687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>8.4 Analytical dataset</w:t>
              <w:tab/>
              <w:t>6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widowControl/>
        <w:suppressAutoHyphens w:val="true"/>
        <w:bidi w:val="0"/>
        <w:spacing w:before="0" w:after="200"/>
        <w:jc w:val="left"/>
        <w:rPr>
          <w:rFonts w:ascii="Ubuntu" w:hAnsi="Ubuntu"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</w:pPr>
      <w:r>
        <w:rPr>
          <w:rFonts w:eastAsia="Cambria" w:cs="" w:cstheme="minorBidi" w:eastAsiaTheme="minorHAnsi"/>
          <w:color w:val="auto"/>
          <w:kern w:val="0"/>
          <w:sz w:val="24"/>
          <w:szCs w:val="24"/>
          <w:lang w:val="en-US" w:eastAsia="en-US" w:bidi="ar-SA"/>
        </w:rPr>
      </w:r>
      <w:r>
        <w:br w:type="page"/>
      </w:r>
    </w:p>
    <w:p>
      <w:pPr>
        <w:pStyle w:val="FirstParagraph"/>
        <w:spacing w:before="0" w:after="180"/>
        <w:rPr/>
      </w:pPr>
      <w:r>
        <w:rPr>
          <w:b/>
          <w:bCs/>
        </w:rPr>
        <w:t>Sensitivity of mortality rates to the imputation of missing socioeconomic data: cohort study</w:t>
      </w:r>
    </w:p>
    <w:p>
      <w:pPr>
        <w:pStyle w:val="BodyText"/>
        <w:rPr/>
      </w:pPr>
      <w:r>
        <w:rPr>
          <w:b/>
          <w:bCs/>
        </w:rPr>
        <w:t>Document version</w:t>
      </w:r>
    </w:p>
    <w:tbl>
      <w:tblPr>
        <w:tblStyle w:val="Table"/>
        <w:tblW w:w="7920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3960"/>
        <w:gridCol w:w="3959"/>
      </w:tblGrid>
      <w:tr>
        <w:trPr/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Version</w:t>
            </w:r>
          </w:p>
        </w:tc>
        <w:tc>
          <w:tcPr>
            <w:tcW w:w="3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Alterations</w:t>
            </w:r>
          </w:p>
        </w:tc>
      </w:tr>
      <w:tr>
        <w:trPr/>
        <w:tc>
          <w:tcPr>
            <w:tcW w:w="39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01</w:t>
            </w:r>
          </w:p>
        </w:tc>
        <w:tc>
          <w:tcPr>
            <w:tcW w:w="39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" w:hAnsi="Ubuntu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</w:pPr>
            <w:r>
              <w:rPr>
                <w:rFonts w:ascii="Ubuntu" w:hAnsi="Ubuntu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szCs w:val="22"/>
                <w:u w:val="none"/>
              </w:rPr>
              <w:t>Initial version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white" stroked="t" o:allowincell="f" style="position:absolute;margin-left:0pt;margin-top:-1.55pt;width:0pt;height:1.45pt;mso-wrap-style:none;v-text-anchor:middle;mso-position-horizontal:center;mso-position-vertical:top">
                <v:fill o:detectmouseclick="t" type="solid" color2="black"/>
                <v:stroke color="black" joinstyle="round" endcap="flat"/>
                <w10:wrap type="topAndBottom"/>
              </v:rect>
            </w:pict>
          </mc:Fallback>
        </mc:AlternateContent>
      </w:r>
    </w:p>
    <w:p>
      <w:pPr>
        <w:pStyle w:val="Heading1"/>
        <w:rPr/>
      </w:pPr>
      <w:bookmarkStart w:id="0" w:name="__RefHeading___Toc16969_1018527687"/>
      <w:bookmarkStart w:id="1" w:name="abbreviations"/>
      <w:bookmarkEnd w:id="0"/>
      <w:r>
        <w:rPr/>
        <w:t>Abbreviations</w:t>
      </w:r>
      <w:bookmarkEnd w:id="1"/>
    </w:p>
    <w:p>
      <w:pPr>
        <w:pStyle w:val="Heading1"/>
        <w:rPr/>
      </w:pPr>
      <w:bookmarkStart w:id="2" w:name="__RefHeading___Toc16971_1018527687"/>
      <w:bookmarkStart w:id="3" w:name="context"/>
      <w:bookmarkEnd w:id="2"/>
      <w:r>
        <w:rPr/>
        <w:t>Context</w:t>
      </w:r>
    </w:p>
    <w:p>
      <w:pPr>
        <w:pStyle w:val="Heading2"/>
        <w:rPr/>
      </w:pPr>
      <w:bookmarkStart w:id="4" w:name="context"/>
      <w:bookmarkStart w:id="5" w:name="__RefHeading___Toc16973_1018527687"/>
      <w:bookmarkStart w:id="6" w:name="objectives"/>
      <w:bookmarkEnd w:id="5"/>
      <w:r>
        <w:rPr/>
        <w:t>Objectives</w:t>
      </w:r>
      <w:bookmarkEnd w:id="4"/>
      <w:bookmarkEnd w:id="6"/>
    </w:p>
    <w:p>
      <w:pPr>
        <w:pStyle w:val="Heading1"/>
        <w:rPr/>
      </w:pPr>
      <w:bookmarkStart w:id="7" w:name="__RefHeading___Toc16975_1018527687"/>
      <w:bookmarkStart w:id="8" w:name="methods"/>
      <w:bookmarkEnd w:id="7"/>
      <w:r>
        <w:rPr/>
        <w:t>Methods</w:t>
      </w:r>
    </w:p>
    <w:p>
      <w:pPr>
        <w:pStyle w:val="FirstParagraph"/>
        <w:rPr/>
      </w:pPr>
      <w:r>
        <w:rPr/>
        <w:t xml:space="preserve">The data procedures, design and analysis methods used in this report are fully described in the annex document </w:t>
      </w:r>
      <w:r>
        <w:rPr>
          <w:b/>
          <w:bCs/>
        </w:rPr>
        <w:t>SAP-2023-017-BH-v01</w:t>
      </w:r>
      <w:r>
        <w:rPr/>
        <w:t>.</w:t>
      </w:r>
    </w:p>
    <w:p>
      <w:pPr>
        <w:pStyle w:val="BodyText"/>
        <w:rPr/>
      </w:pPr>
      <w:r>
        <w:rPr/>
        <w:t xml:space="preserve">This analysis was performed using statistical software </w:t>
      </w:r>
      <w:r>
        <w:rPr>
          <w:rStyle w:val="VerbatimChar"/>
        </w:rPr>
        <w:t>R</w:t>
      </w:r>
      <w:r>
        <w:rPr/>
        <w:t xml:space="preserve"> version 4.3.0.</w:t>
      </w:r>
      <w:bookmarkEnd w:id="8"/>
    </w:p>
    <w:p>
      <w:pPr>
        <w:pStyle w:val="Heading1"/>
        <w:rPr/>
      </w:pPr>
      <w:bookmarkStart w:id="9" w:name="__RefHeading___Toc16977_1018527687"/>
      <w:bookmarkEnd w:id="9"/>
      <w:r>
        <w:rPr/>
        <w:t>Results</w:t>
      </w:r>
    </w:p>
    <w:p>
      <w:pPr>
        <w:pStyle w:val="Heading2"/>
        <w:rPr/>
      </w:pPr>
      <w:bookmarkStart w:id="10" w:name="__RefHeading___Toc16979_1018527687"/>
      <w:bookmarkEnd w:id="10"/>
      <w:r>
        <w:rPr/>
        <w:t>Study population and follow up</w:t>
      </w:r>
    </w:p>
    <w:p>
      <w:pPr>
        <w:pStyle w:val="Compact"/>
        <w:numPr>
          <w:ilvl w:val="0"/>
          <w:numId w:val="2"/>
        </w:numPr>
        <w:rPr/>
      </w:pPr>
      <w:r>
        <w:rPr/>
        <w:t>no changes to the id pool</w:t>
      </w:r>
    </w:p>
    <w:p>
      <w:pPr>
        <w:pStyle w:val="Compact"/>
        <w:numPr>
          <w:ilvl w:val="0"/>
          <w:numId w:val="2"/>
        </w:numPr>
        <w:rPr/>
      </w:pPr>
      <w:r>
        <w:rPr/>
        <w:t>slight shift in SES props, but similar overall (also, still homogeneously distributed)</w:t>
      </w:r>
    </w:p>
    <w:p>
      <w:pPr>
        <w:pStyle w:val="TableCaption"/>
        <w:keepNext w:val="true"/>
        <w:pBdr/>
        <w:spacing w:lineRule="exact" w:line="240" w:before="60" w:after="60"/>
        <w:ind w:hanging="0" w:left="60" w:right="60"/>
        <w:jc w:val="center"/>
        <w:rPr/>
      </w:pPr>
      <w:r>
        <w:rPr/>
        <w:t>**Table 1** caption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376"/>
        <w:gridCol w:w="1377"/>
        <w:gridCol w:w="1377"/>
        <w:gridCol w:w="1377"/>
        <w:gridCol w:w="1377"/>
        <w:gridCol w:w="1377"/>
        <w:gridCol w:w="1376"/>
      </w:tblGrid>
      <w:tr>
        <w:trPr>
          <w:tblHeader w:val="true"/>
          <w:trHeight w:val="624" w:hRule="atLeast"/>
        </w:trPr>
        <w:tc>
          <w:tcPr>
            <w:tcW w:w="1376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left"/>
              <w:rPr>
                <w:rFonts w:ascii="DejaVu Sans" w:hAnsi="DejaVu Sans" w:eastAsia="DejaVu Sans" w:cs="DejaVu Sans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/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Single observation per individual</w:t>
            </w:r>
          </w:p>
        </w:tc>
        <w:tc>
          <w:tcPr>
            <w:tcW w:w="6884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Multiple observations per individual</w:t>
            </w:r>
          </w:p>
        </w:tc>
      </w:tr>
      <w:tr>
        <w:trPr>
          <w:tblHeader w:val="true"/>
          <w:trHeight w:val="600" w:hRule="atLeast"/>
        </w:trPr>
        <w:tc>
          <w:tcPr>
            <w:tcW w:w="1376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left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Characteristic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CC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, N = 7,978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LOCF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, N = 7,978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LOCF+NOCB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, N = 7,978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CC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, N = 24,282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</w:p>
        </w:tc>
        <w:tc>
          <w:tcPr>
            <w:tcW w:w="1377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LOCF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, N = 24,282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</w:p>
        </w:tc>
        <w:tc>
          <w:tcPr>
            <w:tcW w:w="1376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LOCF+NOCB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, N = 24,282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</w:p>
        </w:tc>
      </w:tr>
      <w:tr>
        <w:trPr>
          <w:trHeight w:val="600" w:hRule="atLeast"/>
        </w:trPr>
        <w:tc>
          <w:tcPr>
            <w:tcW w:w="1376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outcome, n</w:t>
            </w:r>
          </w:p>
        </w:tc>
        <w:tc>
          <w:tcPr>
            <w:tcW w:w="1377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1,003</w:t>
            </w:r>
          </w:p>
        </w:tc>
        <w:tc>
          <w:tcPr>
            <w:tcW w:w="1377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1,003</w:t>
            </w:r>
          </w:p>
        </w:tc>
        <w:tc>
          <w:tcPr>
            <w:tcW w:w="1377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1,003</w:t>
            </w:r>
          </w:p>
        </w:tc>
        <w:tc>
          <w:tcPr>
            <w:tcW w:w="1377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1,006</w:t>
            </w:r>
          </w:p>
        </w:tc>
        <w:tc>
          <w:tcPr>
            <w:tcW w:w="1377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1,006</w:t>
            </w:r>
          </w:p>
        </w:tc>
        <w:tc>
          <w:tcPr>
            <w:tcW w:w="1376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1,006</w:t>
            </w:r>
          </w:p>
        </w:tc>
      </w:tr>
      <w:tr>
        <w:trPr>
          <w:trHeight w:val="623" w:hRule="atLeast"/>
        </w:trPr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exposure, n (%)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</w:tr>
      <w:tr>
        <w:trPr>
          <w:trHeight w:val="617" w:hRule="atLeast"/>
        </w:trPr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300" w:right="10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Prosperous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1,421 (22%)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1,428 (22%)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1,430 (22%)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4,363 (23%)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4,573 (23%)</w:t>
            </w:r>
          </w:p>
        </w:tc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4,577 (23%)</w:t>
            </w:r>
          </w:p>
        </w:tc>
      </w:tr>
      <w:tr>
        <w:trPr>
          <w:trHeight w:val="607" w:hRule="atLeast"/>
        </w:trPr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300" w:right="10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Comfortable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1,327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1,339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1,341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3,862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4,070 (20%)</w:t>
            </w:r>
          </w:p>
        </w:tc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4,072 (20%)</w:t>
            </w:r>
          </w:p>
        </w:tc>
      </w:tr>
      <w:tr>
        <w:trPr>
          <w:trHeight w:val="607" w:hRule="atLeast"/>
        </w:trPr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300" w:right="10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Mid-Tier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1,221 (19%)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1,237 (19%)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1,238 (19%)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3,573 (19%)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3,764 (19%)</w:t>
            </w:r>
          </w:p>
        </w:tc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3,765 (19%)</w:t>
            </w:r>
          </w:p>
        </w:tc>
      </w:tr>
      <w:tr>
        <w:trPr>
          <w:trHeight w:val="607" w:hRule="atLeast"/>
        </w:trPr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300" w:right="10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At-Risk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1,287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1,296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1,299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3,782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3,993 (20%)</w:t>
            </w:r>
          </w:p>
        </w:tc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3,997 (20%)</w:t>
            </w:r>
          </w:p>
        </w:tc>
      </w:tr>
      <w:tr>
        <w:trPr>
          <w:trHeight w:val="607" w:hRule="atLeast"/>
        </w:trPr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300" w:right="10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Distressed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1,285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1,291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1,294 (20%)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3,696 (19%)</w:t>
            </w:r>
          </w:p>
        </w:tc>
        <w:tc>
          <w:tcPr>
            <w:tcW w:w="1377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3,905 (19%)</w:t>
            </w:r>
          </w:p>
        </w:tc>
        <w:tc>
          <w:tcPr>
            <w:tcW w:w="1376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3,910 (19%)</w:t>
            </w:r>
          </w:p>
        </w:tc>
      </w:tr>
      <w:tr>
        <w:trPr>
          <w:trHeight w:val="624" w:hRule="atLeast"/>
        </w:trPr>
        <w:tc>
          <w:tcPr>
            <w:tcW w:w="1376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300" w:right="10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Missing</w:t>
            </w:r>
          </w:p>
        </w:tc>
        <w:tc>
          <w:tcPr>
            <w:tcW w:w="1377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1,437</w:t>
            </w:r>
          </w:p>
        </w:tc>
        <w:tc>
          <w:tcPr>
            <w:tcW w:w="1377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1,387</w:t>
            </w:r>
          </w:p>
        </w:tc>
        <w:tc>
          <w:tcPr>
            <w:tcW w:w="1377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1,376</w:t>
            </w:r>
          </w:p>
        </w:tc>
        <w:tc>
          <w:tcPr>
            <w:tcW w:w="1377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5,006</w:t>
            </w:r>
          </w:p>
        </w:tc>
        <w:tc>
          <w:tcPr>
            <w:tcW w:w="1377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3,977</w:t>
            </w:r>
          </w:p>
        </w:tc>
        <w:tc>
          <w:tcPr>
            <w:tcW w:w="1376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3,961</w:t>
            </w:r>
          </w:p>
        </w:tc>
      </w:tr>
      <w:tr>
        <w:trPr>
          <w:trHeight w:val="360" w:hRule="atLeast"/>
        </w:trPr>
        <w:tc>
          <w:tcPr>
            <w:tcW w:w="9637" w:type="dxa"/>
            <w:gridSpan w:val="7"/>
            <w:tcBorders>
              <w:top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CC = complete-cases (not imputed), LOCF = last observation carried forward, NOCB = next observation carried backward</w:t>
            </w:r>
          </w:p>
        </w:tc>
      </w:tr>
    </w:tbl>
    <w:p>
      <w:pPr>
        <w:pStyle w:val="FirstParagraph"/>
        <w:rPr/>
      </w:pPr>
      <w:r>
        <w:rPr/>
        <w:t>After dropping incomplete cases (data available to the model)</w:t>
      </w:r>
    </w:p>
    <w:p>
      <w:pPr>
        <w:pStyle w:val="Compact"/>
        <w:numPr>
          <w:ilvl w:val="0"/>
          <w:numId w:val="6"/>
        </w:numPr>
        <w:rPr/>
      </w:pPr>
      <w:r>
        <w:rPr/>
        <w:t xml:space="preserve">few individuals lost after complete-cases deletion </w:t>
      </w:r>
    </w:p>
    <w:p>
      <w:pPr>
        <w:pStyle w:val="Compact"/>
        <w:numPr>
          <w:ilvl w:val="0"/>
          <w:numId w:val="7"/>
        </w:numPr>
        <w:rPr/>
      </w:pPr>
      <w:r>
        <w:rPr/>
        <w:t>Single: all Single datasets are equal</w:t>
      </w:r>
    </w:p>
    <w:p>
      <w:pPr>
        <w:pStyle w:val="Compact"/>
        <w:numPr>
          <w:ilvl w:val="0"/>
          <w:numId w:val="8"/>
        </w:numPr>
        <w:rPr/>
      </w:pPr>
      <w:r>
        <w:rPr/>
        <w:t>multiple:: most deaths are dropped in multiple CC (ZIP not recorded -&gt; no SES)</w:t>
      </w:r>
    </w:p>
    <w:p>
      <w:pPr>
        <w:pStyle w:val="Compact"/>
        <w:numPr>
          <w:ilvl w:val="0"/>
          <w:numId w:val="9"/>
        </w:numPr>
        <w:rPr/>
      </w:pPr>
      <w:r>
        <w:rPr/>
        <w:t>multiple: LOCF is equal to LOCF+NOCB</w:t>
      </w:r>
    </w:p>
    <w:p>
      <w:pPr>
        <w:pStyle w:val="Compact"/>
        <w:numPr>
          <w:ilvl w:val="0"/>
          <w:numId w:val="10"/>
        </w:numPr>
        <w:rPr/>
      </w:pPr>
      <w:r>
        <w:rPr/>
        <w:t>single death added</w:t>
      </w:r>
    </w:p>
    <w:tbl>
      <w:tblPr>
        <w:tblW w:w="5000" w:type="pct"/>
        <w:jc w:val="center"/>
        <w:tblInd w:w="0" w:type="dxa"/>
        <w:tblLayout w:type="fixed"/>
        <w:tblCellMar>
          <w:top w:w="0" w:type="dxa"/>
          <w:left w:w="60" w:type="dxa"/>
          <w:bottom w:w="0" w:type="dxa"/>
          <w:right w:w="60" w:type="dxa"/>
        </w:tblCellMar>
        <w:tblLook w:noHBand="0" w:noVBand="0" w:firstColumn="0" w:lastRow="0" w:lastColumn="0" w:firstRow="0"/>
      </w:tblPr>
      <w:tblGrid>
        <w:gridCol w:w="4818"/>
        <w:gridCol w:w="4819"/>
      </w:tblGrid>
      <w:tr>
        <w:trPr>
          <w:tblHeader w:val="true"/>
          <w:cantSplit w:val="true"/>
        </w:trPr>
        <w:tc>
          <w:tcPr>
            <w:tcW w:w="4818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dataset</w:t>
            </w:r>
          </w:p>
        </w:tc>
        <w:tc>
          <w:tcPr>
            <w:tcW w:w="4819" w:type="dxa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n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sing_cc</w:t>
            </w:r>
          </w:p>
        </w:tc>
        <w:tc>
          <w:tcPr>
            <w:tcW w:w="481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693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sing_locf</w:t>
            </w:r>
          </w:p>
        </w:tc>
        <w:tc>
          <w:tcPr>
            <w:tcW w:w="481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693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sing_locf+nocb</w:t>
            </w:r>
          </w:p>
        </w:tc>
        <w:tc>
          <w:tcPr>
            <w:tcW w:w="481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693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mult_cc</w:t>
            </w:r>
          </w:p>
        </w:tc>
        <w:tc>
          <w:tcPr>
            <w:tcW w:w="481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2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mult_locf</w:t>
            </w:r>
          </w:p>
        </w:tc>
        <w:tc>
          <w:tcPr>
            <w:tcW w:w="481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694</w:t>
            </w:r>
          </w:p>
        </w:tc>
      </w:tr>
      <w:tr>
        <w:trPr>
          <w:cantSplit w:val="true"/>
        </w:trPr>
        <w:tc>
          <w:tcPr>
            <w:tcW w:w="4818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center"/>
              <w:rPr/>
            </w:pPr>
            <w:r>
              <w:rPr>
                <w:rFonts w:ascii="Calibri" w:hAnsi="Calibri"/>
                <w:sz w:val="20"/>
              </w:rPr>
              <w:t>mult_locf+nocb</w:t>
            </w:r>
          </w:p>
        </w:tc>
        <w:tc>
          <w:tcPr>
            <w:tcW w:w="481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</w:tcPr>
          <w:p>
            <w:pPr>
              <w:pStyle w:val="Normal"/>
              <w:keepNext w:val="true"/>
              <w:spacing w:before="0" w:after="60"/>
              <w:jc w:val="right"/>
              <w:rPr/>
            </w:pPr>
            <w:r>
              <w:rPr>
                <w:rFonts w:ascii="Calibri" w:hAnsi="Calibri"/>
                <w:sz w:val="20"/>
              </w:rPr>
              <w:t>694</w:t>
            </w:r>
            <w:bookmarkStart w:id="11" w:name="study-population-and-follow-up"/>
            <w:bookmarkEnd w:id="11"/>
          </w:p>
        </w:tc>
      </w:tr>
    </w:tbl>
    <w:p>
      <w:pPr>
        <w:pStyle w:val="Heading2"/>
        <w:rPr/>
      </w:pPr>
      <w:bookmarkStart w:id="12" w:name="__RefHeading___Toc16981_1018527687"/>
      <w:bookmarkEnd w:id="12"/>
      <w:r>
        <w:rPr/>
        <w:t>Inferential analysis</w:t>
      </w:r>
    </w:p>
    <w:p>
      <w:pPr>
        <w:pStyle w:val="Compact"/>
        <w:numPr>
          <w:ilvl w:val="0"/>
          <w:numId w:val="11"/>
        </w:numPr>
        <w:rPr/>
      </w:pPr>
      <w:r>
        <w:rPr/>
        <w:t>FIMCOG4 is included in single CC (table 4)</w:t>
      </w:r>
    </w:p>
    <w:p>
      <w:pPr>
        <w:pStyle w:val="Compact"/>
        <w:numPr>
          <w:ilvl w:val="0"/>
          <w:numId w:val="12"/>
        </w:numPr>
        <w:rPr/>
      </w:pPr>
      <w:r>
        <w:rPr/>
        <w:t>FIMMOTD4 and FIMCOG4 are included in multiple LOCF</w:t>
      </w:r>
    </w:p>
    <w:p>
      <w:pPr>
        <w:pStyle w:val="Compact"/>
        <w:numPr>
          <w:ilvl w:val="0"/>
          <w:numId w:val="13"/>
        </w:numPr>
        <w:rPr/>
      </w:pPr>
      <w:r>
        <w:rPr/>
        <w:t>Days to rehab is included in multiple LOCF</w:t>
      </w:r>
    </w:p>
    <w:p>
      <w:pPr>
        <w:pStyle w:val="Compact"/>
        <w:numPr>
          <w:ilvl w:val="0"/>
          <w:numId w:val="14"/>
        </w:numPr>
        <w:rPr/>
      </w:pPr>
      <w:r>
        <w:rPr/>
        <w:t>multiple: time-varying exposure is associated with the outcome up to model 5 (clinical+FIM scores)</w:t>
      </w:r>
    </w:p>
    <w:p>
      <w:pPr>
        <w:pStyle w:val="TableCaption"/>
        <w:keepNext w:val="true"/>
        <w:pBdr/>
        <w:spacing w:lineRule="exact" w:line="240" w:before="60" w:after="60"/>
        <w:ind w:hanging="0" w:left="60" w:right="60"/>
        <w:jc w:val="center"/>
        <w:rPr/>
      </w:pPr>
      <w:r>
        <w:rPr/>
        <w:t>**Table 3** caption</w:t>
      </w:r>
    </w:p>
    <w:tbl>
      <w:tblPr>
        <w:tblW w:w="963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noHBand="0" w:noVBand="0" w:firstColumn="0" w:lastRow="0" w:lastColumn="0" w:firstRow="0"/>
      </w:tblPr>
      <w:tblGrid>
        <w:gridCol w:w="1661"/>
        <w:gridCol w:w="1329"/>
        <w:gridCol w:w="1329"/>
        <w:gridCol w:w="1329"/>
        <w:gridCol w:w="1329"/>
        <w:gridCol w:w="1329"/>
        <w:gridCol w:w="1329"/>
      </w:tblGrid>
      <w:tr>
        <w:trPr>
          <w:tblHeader w:val="true"/>
          <w:trHeight w:val="625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left"/>
              <w:rPr>
                <w:rFonts w:ascii="DejaVu Sans" w:hAnsi="DejaVu Sans" w:eastAsia="DejaVu Sans" w:cs="DejaVu Sans"/>
                <w:b w:val="false"/>
                <w:i w:val="false"/>
                <w:i w:val="false"/>
                <w:color w:val="000000"/>
                <w:sz w:val="16"/>
                <w:szCs w:val="16"/>
                <w:u w:val="none"/>
              </w:rPr>
            </w:pPr>
            <w:r>
              <w:rPr/>
            </w:r>
          </w:p>
        </w:tc>
        <w:tc>
          <w:tcPr>
            <w:tcW w:w="1329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Single CC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*</w:t>
            </w:r>
          </w:p>
        </w:tc>
        <w:tc>
          <w:tcPr>
            <w:tcW w:w="6645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Multiple LOCF</w:t>
            </w:r>
          </w:p>
        </w:tc>
      </w:tr>
      <w:tr>
        <w:trPr>
          <w:tblHeader w:val="true"/>
          <w:trHeight w:val="624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Characteristic</w:t>
            </w:r>
          </w:p>
        </w:tc>
        <w:tc>
          <w:tcPr>
            <w:tcW w:w="1329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HR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12</w:t>
            </w:r>
          </w:p>
        </w:tc>
        <w:tc>
          <w:tcPr>
            <w:tcW w:w="1329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95% CI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2</w:t>
            </w:r>
          </w:p>
        </w:tc>
        <w:tc>
          <w:tcPr>
            <w:tcW w:w="1329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p-value</w:t>
            </w:r>
          </w:p>
        </w:tc>
        <w:tc>
          <w:tcPr>
            <w:tcW w:w="1329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HR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2</w:t>
            </w:r>
          </w:p>
        </w:tc>
        <w:tc>
          <w:tcPr>
            <w:tcW w:w="1329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95% CI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2</w:t>
            </w:r>
          </w:p>
        </w:tc>
        <w:tc>
          <w:tcPr>
            <w:tcW w:w="1329" w:type="dxa"/>
            <w:tcBorders>
              <w:top w:val="single" w:sz="8" w:space="0" w:color="000000"/>
              <w:bottom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p-value</w:t>
            </w:r>
          </w:p>
        </w:tc>
      </w:tr>
      <w:tr>
        <w:trPr>
          <w:trHeight w:val="624" w:hRule="atLeast"/>
        </w:trPr>
        <w:tc>
          <w:tcPr>
            <w:tcW w:w="1661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SES quintiles</w:t>
            </w:r>
          </w:p>
        </w:tc>
        <w:tc>
          <w:tcPr>
            <w:tcW w:w="1329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29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29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29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29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29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</w:tr>
      <w:tr>
        <w:trPr>
          <w:trHeight w:val="617" w:hRule="atLeast"/>
        </w:trPr>
        <w:tc>
          <w:tcPr>
            <w:tcW w:w="1661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Prosperous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—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—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—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—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exact" w:line="240" w:before="0" w:after="0"/>
              <w:ind w:hanging="0" w:left="100" w:right="100"/>
              <w:jc w:val="center"/>
              <w:rPr/>
            </w:pPr>
            <w:r>
              <w:rPr/>
            </w:r>
          </w:p>
        </w:tc>
      </w:tr>
      <w:tr>
        <w:trPr>
          <w:trHeight w:val="581" w:hRule="atLeast"/>
        </w:trPr>
        <w:tc>
          <w:tcPr>
            <w:tcW w:w="1661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Comfortable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0.98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0.78 to 1.25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0.893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1.06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0.83 to 1.35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0.623</w:t>
            </w:r>
          </w:p>
        </w:tc>
      </w:tr>
      <w:tr>
        <w:trPr>
          <w:trHeight w:val="581" w:hRule="atLeast"/>
        </w:trPr>
        <w:tc>
          <w:tcPr>
            <w:tcW w:w="1661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Mid-Tier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1.09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0.84 to 1.41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0.515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1.18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0.91 to 1.52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0.207</w:t>
            </w:r>
          </w:p>
        </w:tc>
      </w:tr>
      <w:tr>
        <w:trPr>
          <w:trHeight w:val="581" w:hRule="atLeast"/>
        </w:trPr>
        <w:tc>
          <w:tcPr>
            <w:tcW w:w="1661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At-Risk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1.12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0.87 to 1.43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0.386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1.11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0.87 to 1.43</w:t>
            </w:r>
          </w:p>
        </w:tc>
        <w:tc>
          <w:tcPr>
            <w:tcW w:w="1329" w:type="dxa"/>
            <w:tcBorders/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0.400</w:t>
            </w:r>
          </w:p>
        </w:tc>
      </w:tr>
      <w:tr>
        <w:trPr>
          <w:trHeight w:val="581" w:hRule="atLeast"/>
        </w:trPr>
        <w:tc>
          <w:tcPr>
            <w:tcW w:w="166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Distressed</w:t>
            </w:r>
          </w:p>
        </w:tc>
        <w:tc>
          <w:tcPr>
            <w:tcW w:w="1329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1.21</w:t>
            </w:r>
          </w:p>
        </w:tc>
        <w:tc>
          <w:tcPr>
            <w:tcW w:w="1329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0.95 to 1.56</w:t>
            </w:r>
          </w:p>
        </w:tc>
        <w:tc>
          <w:tcPr>
            <w:tcW w:w="1329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0.129</w:t>
            </w:r>
          </w:p>
        </w:tc>
        <w:tc>
          <w:tcPr>
            <w:tcW w:w="1329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1.33</w:t>
            </w:r>
          </w:p>
        </w:tc>
        <w:tc>
          <w:tcPr>
            <w:tcW w:w="1329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1.03 to 1.72</w:t>
            </w:r>
          </w:p>
        </w:tc>
        <w:tc>
          <w:tcPr>
            <w:tcW w:w="1329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center"/>
              <w:rPr/>
            </w:pPr>
            <w:r>
              <w:rPr>
                <w:rFonts w:eastAsia="DejaVu Sans" w:cs="DejaVu Sans" w:ascii="DejaVu Sans" w:hAnsi="DejaVu Sans"/>
                <w:b/>
                <w:i w:val="false"/>
                <w:color w:val="000000"/>
                <w:sz w:val="16"/>
                <w:szCs w:val="16"/>
                <w:u w:val="none"/>
              </w:rPr>
              <w:t>0.027</w:t>
            </w:r>
          </w:p>
        </w:tc>
      </w:tr>
      <w:tr>
        <w:trPr>
          <w:trHeight w:val="360" w:hRule="atLeast"/>
        </w:trPr>
        <w:tc>
          <w:tcPr>
            <w:tcW w:w="9635" w:type="dxa"/>
            <w:gridSpan w:val="7"/>
            <w:tcBorders>
              <w:top w:val="single" w:sz="8" w:space="0" w:color="000000"/>
            </w:tcBorders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1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\* FIM scores violate PH assumption</w:t>
            </w:r>
          </w:p>
        </w:tc>
      </w:tr>
      <w:tr>
        <w:trPr>
          <w:trHeight w:val="360" w:hRule="atLeast"/>
        </w:trPr>
        <w:tc>
          <w:tcPr>
            <w:tcW w:w="9635" w:type="dxa"/>
            <w:gridSpan w:val="7"/>
            <w:tcBorders/>
            <w:shd w:color="auto" w:fill="FFFFFF" w:val="clear"/>
            <w:vAlign w:val="center"/>
          </w:tcPr>
          <w:p>
            <w:pPr>
              <w:pStyle w:val="Normal"/>
              <w:pBdr/>
              <w:spacing w:lineRule="auto" w:line="240" w:before="0" w:after="0"/>
              <w:ind w:hanging="0" w:left="0" w:right="0"/>
              <w:jc w:val="left"/>
              <w:rPr/>
            </w:pP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  <w:vertAlign w:val="superscript"/>
              </w:rPr>
              <w:t>2</w:t>
            </w:r>
            <w:r>
              <w:rPr>
                <w:rFonts w:eastAsia="DejaVu Sans" w:cs="DejaVu Sans" w:ascii="DejaVu Sans" w:hAnsi="DejaVu Sans"/>
                <w:b w:val="false"/>
                <w:i w:val="false"/>
                <w:color w:val="000000"/>
                <w:sz w:val="16"/>
                <w:szCs w:val="16"/>
                <w:u w:val="none"/>
              </w:rPr>
              <w:t>CC = complete-cases (not imputed), CI = Confidence Interval, LOCF = last observation carried forward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16" w:space="0" w:color="D3D3D3"/>
              <w:left w:val="single" w:sz="6" w:space="0" w:color="D3D3D3"/>
              <w:bottom w:val="single" w:sz="1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term</w:t>
            </w:r>
          </w:p>
        </w:tc>
        <w:tc>
          <w:tcPr>
            <w:tcW w:w="1329" w:type="dxa"/>
            <w:tcBorders>
              <w:top w:val="single" w:sz="16" w:space="0" w:color="D3D3D3"/>
              <w:bottom w:val="single" w:sz="1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cc</w:t>
            </w:r>
          </w:p>
        </w:tc>
        <w:tc>
          <w:tcPr>
            <w:tcW w:w="6645" w:type="dxa"/>
            <w:gridSpan w:val="5"/>
            <w:tcBorders>
              <w:top w:val="single" w:sz="16" w:space="0" w:color="D3D3D3"/>
              <w:bottom w:val="single" w:sz="1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locf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exposure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0.5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0.5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SexF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Race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0.4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AGE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0.8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EDUCATION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&gt;0.9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EMPLOYMENT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RehabPay1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0.6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0.7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SCI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0.9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DAYStoREHABdc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0.055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PROBLEMUse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0.8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ResDis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0.6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RURALdc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0.4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0.3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FIMMOTD4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0.047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0.055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FIMCOGD4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0.2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0.13</w:t>
            </w:r>
          </w:p>
        </w:tc>
      </w:tr>
      <w:tr>
        <w:trPr>
          <w:cantSplit w:val="true"/>
        </w:trPr>
        <w:tc>
          <w:tcPr>
            <w:tcW w:w="1661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GLOBAL</w:t>
            </w:r>
          </w:p>
        </w:tc>
        <w:tc>
          <w:tcPr>
            <w:tcW w:w="1329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left"/>
              <w:rPr/>
            </w:pPr>
            <w:r>
              <w:rPr>
                <w:rFonts w:ascii="Calibri" w:hAnsi="Calibri"/>
                <w:sz w:val="20"/>
              </w:rPr>
              <w:t>0.3</w:t>
            </w:r>
          </w:p>
        </w:tc>
        <w:tc>
          <w:tcPr>
            <w:tcW w:w="6645" w:type="dxa"/>
            <w:gridSpan w:val="5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left w:w="60" w:type="dxa"/>
              <w:right w:w="60" w:type="dxa"/>
            </w:tcMar>
          </w:tcPr>
          <w:p>
            <w:pPr>
              <w:pStyle w:val="Normal"/>
              <w:keepNext w:val="true"/>
              <w:spacing w:lineRule="auto" w:line="240" w:before="0" w:after="0"/>
              <w:ind w:left="0" w:right="0"/>
              <w:jc w:val="right"/>
              <w:rPr/>
            </w:pPr>
            <w:r>
              <w:rPr>
                <w:rFonts w:ascii="Calibri" w:hAnsi="Calibri"/>
                <w:sz w:val="20"/>
              </w:rPr>
              <w:t>0.2</w:t>
            </w:r>
            <w:bookmarkStart w:id="13" w:name="results"/>
            <w:bookmarkEnd w:id="13"/>
          </w:p>
        </w:tc>
      </w:tr>
    </w:tbl>
    <w:p>
      <w:pPr>
        <w:pStyle w:val="Heading1"/>
        <w:rPr/>
      </w:pPr>
      <w:bookmarkStart w:id="14" w:name="__RefHeading___Toc16983_1018527687"/>
      <w:bookmarkStart w:id="15" w:name="observations-and-limitations"/>
      <w:bookmarkEnd w:id="14"/>
      <w:r>
        <w:rPr/>
        <w:t>Observations and Limitations</w:t>
      </w:r>
      <w:bookmarkEnd w:id="15"/>
    </w:p>
    <w:p>
      <w:pPr>
        <w:pStyle w:val="Heading1"/>
        <w:rPr/>
      </w:pPr>
      <w:bookmarkStart w:id="16" w:name="__RefHeading___Toc16985_1018527687"/>
      <w:bookmarkStart w:id="17" w:name="conclusions"/>
      <w:bookmarkEnd w:id="16"/>
      <w:r>
        <w:rPr/>
        <w:t>Conclusions</w:t>
      </w:r>
      <w:bookmarkEnd w:id="17"/>
    </w:p>
    <w:p>
      <w:pPr>
        <w:pStyle w:val="Heading1"/>
        <w:rPr/>
      </w:pPr>
      <w:bookmarkStart w:id="18" w:name="__RefHeading___Toc16987_1018527687"/>
      <w:bookmarkStart w:id="19" w:name="references"/>
      <w:bookmarkEnd w:id="18"/>
      <w:r>
        <w:rPr/>
        <w:t>References</w:t>
      </w:r>
    </w:p>
    <w:p>
      <w:pPr>
        <w:pStyle w:val="Compact"/>
        <w:numPr>
          <w:ilvl w:val="0"/>
          <w:numId w:val="15"/>
        </w:numPr>
        <w:rPr/>
      </w:pPr>
      <w:r>
        <w:rPr>
          <w:b/>
          <w:bCs/>
        </w:rPr>
        <w:t>SAP-2023-017-BH-v02</w:t>
      </w:r>
      <w:r>
        <w:rPr/>
        <w:t xml:space="preserve"> – Analytical Plan for Sensitivity of mortality rates to the imputation of missing socioeconomic data: cohort study</w:t>
      </w:r>
      <w:bookmarkEnd w:id="19"/>
    </w:p>
    <w:p>
      <w:pPr>
        <w:pStyle w:val="Heading1"/>
        <w:rPr/>
      </w:pPr>
      <w:bookmarkStart w:id="20" w:name="__RefHeading___Toc16989_1018527687"/>
      <w:bookmarkStart w:id="21" w:name="appendix"/>
      <w:bookmarkEnd w:id="20"/>
      <w:r>
        <w:rPr/>
        <w:t>Appendix</w:t>
      </w:r>
    </w:p>
    <w:p>
      <w:pPr>
        <w:pStyle w:val="Heading2"/>
        <w:rPr/>
      </w:pPr>
      <w:bookmarkStart w:id="22" w:name="__RefHeading___Toc16991_1018527687"/>
      <w:bookmarkStart w:id="23" w:name="exploratory-data-analysis"/>
      <w:bookmarkEnd w:id="22"/>
      <w:r>
        <w:rPr/>
        <w:t>Exploratory data analysis</w:t>
      </w:r>
    </w:p>
    <w:p>
      <w:pPr>
        <w:pStyle w:val="FirstParagraph"/>
        <w:rPr/>
      </w:pPr>
      <w:bookmarkStart w:id="24" w:name="exploratory-data-analysis"/>
      <w:r>
        <w:rPr/>
        <w:t>N/A</w:t>
      </w:r>
      <w:bookmarkEnd w:id="24"/>
    </w:p>
    <w:p>
      <w:pPr>
        <w:pStyle w:val="Heading2"/>
        <w:rPr/>
      </w:pPr>
      <w:bookmarkStart w:id="25" w:name="__RefHeading___Toc16993_1018527687"/>
      <w:bookmarkStart w:id="26" w:name="availability"/>
      <w:bookmarkEnd w:id="25"/>
      <w:r>
        <w:rPr/>
        <w:t>Availability</w:t>
      </w:r>
    </w:p>
    <w:p>
      <w:pPr>
        <w:pStyle w:val="FirstParagraph"/>
        <w:rPr/>
      </w:pPr>
      <w:r>
        <w:rPr/>
        <w:t>All documents from this consultation were included in the consultant’s Portfolio.</w:t>
      </w:r>
    </w:p>
    <w:p>
      <w:pPr>
        <w:pStyle w:val="BodyText"/>
        <w:rPr/>
      </w:pPr>
      <w:r>
        <w:rPr/>
        <w:t>The portfolio is available at:</w:t>
      </w:r>
    </w:p>
    <w:p>
      <w:pPr>
        <w:pStyle w:val="BodyText"/>
        <w:rPr/>
      </w:pPr>
      <w:hyperlink r:id="rId2">
        <w:bookmarkStart w:id="27" w:name="availability"/>
        <w:r>
          <w:rPr>
            <w:rStyle w:val="Hyperlink"/>
          </w:rPr>
          <w:t>https://philsf-biostat.github.io/SAR-2023-017-BH/</w:t>
        </w:r>
      </w:hyperlink>
      <w:bookmarkEnd w:id="27"/>
    </w:p>
    <w:p>
      <w:pPr>
        <w:pStyle w:val="Heading2"/>
        <w:rPr/>
      </w:pPr>
      <w:bookmarkStart w:id="28" w:name="__RefHeading___Toc16995_1018527687"/>
      <w:bookmarkStart w:id="29" w:name="associated-analyses"/>
      <w:bookmarkEnd w:id="28"/>
      <w:r>
        <w:rPr/>
        <w:t>Associated analyses</w:t>
      </w:r>
    </w:p>
    <w:p>
      <w:pPr>
        <w:pStyle w:val="FirstParagraph"/>
        <w:rPr/>
      </w:pPr>
      <w:r>
        <w:rPr/>
        <w:t>This analysis is part of a larger project and is supported by other analyses, linked below.</w:t>
      </w:r>
    </w:p>
    <w:p>
      <w:pPr>
        <w:pStyle w:val="BodyText"/>
        <w:rPr/>
      </w:pPr>
      <w:r>
        <w:rPr>
          <w:b/>
          <w:bCs/>
        </w:rPr>
        <w:t>Effect of socioeconomic status in mortality rates after brain injury: cohort study</w:t>
      </w:r>
    </w:p>
    <w:p>
      <w:pPr>
        <w:pStyle w:val="BodyText"/>
        <w:rPr/>
      </w:pPr>
      <w:hyperlink r:id="rId3">
        <w:r>
          <w:rPr>
            <w:rStyle w:val="Hyperlink"/>
          </w:rPr>
          <w:t>https://philsf-biostat.github.io/SAR-2023-004-BH/</w:t>
        </w:r>
      </w:hyperlink>
    </w:p>
    <w:p>
      <w:pPr>
        <w:pStyle w:val="BodyText"/>
        <w:rPr/>
      </w:pPr>
      <w:r>
        <w:rPr>
          <w:b/>
          <w:bCs/>
        </w:rPr>
        <w:t>Time-adjusted effect of socioeconomic status in mortality rates after brain injury: cohort study</w:t>
      </w:r>
    </w:p>
    <w:p>
      <w:pPr>
        <w:pStyle w:val="BodyText"/>
        <w:rPr/>
      </w:pPr>
      <w:hyperlink r:id="rId4">
        <w:bookmarkStart w:id="30" w:name="associated-analyses"/>
        <w:r>
          <w:rPr>
            <w:rStyle w:val="Hyperlink"/>
          </w:rPr>
          <w:t>https://philsf-biostat.github.io/SAR-2023-016-BH/</w:t>
        </w:r>
      </w:hyperlink>
      <w:bookmarkEnd w:id="30"/>
    </w:p>
    <w:p>
      <w:pPr>
        <w:pStyle w:val="Heading2"/>
        <w:rPr/>
      </w:pPr>
      <w:bookmarkStart w:id="31" w:name="__RefHeading___Toc16997_1018527687"/>
      <w:bookmarkStart w:id="32" w:name="analytical-dataset"/>
      <w:bookmarkEnd w:id="31"/>
      <w:r>
        <w:rPr/>
        <w:t>Analytical dataset</w:t>
      </w:r>
    </w:p>
    <w:p>
      <w:pPr>
        <w:pStyle w:val="FirstParagraph"/>
        <w:rPr/>
      </w:pPr>
      <w:r>
        <w:rPr/>
        <w:t>Table A</w:t>
      </w:r>
      <w:r>
        <w:rPr/>
        <w:t>1</w:t>
      </w:r>
      <w:r>
        <w:rPr/>
        <w:t xml:space="preserve"> shows the structure of the analytical dataset.</w:t>
      </w:r>
    </w:p>
    <w:p>
      <w:pPr>
        <w:pStyle w:val="TableCaption"/>
        <w:rPr/>
      </w:pPr>
      <w:r>
        <w:rPr>
          <w:b/>
          <w:bCs/>
        </w:rPr>
        <w:t>Table A</w:t>
      </w:r>
      <w:r>
        <w:rPr>
          <w:b/>
          <w:bCs/>
        </w:rPr>
        <w:t>1</w:t>
      </w:r>
      <w:r>
        <w:rPr/>
        <w:t xml:space="preserve"> Analytical dataset structure</w:t>
      </w:r>
    </w:p>
    <w:tbl>
      <w:tblPr>
        <w:tblStyle w:val="Table"/>
        <w:tblW w:w="9746" w:type="dxa"/>
        <w:jc w:val="left"/>
        <w:tblInd w:w="-5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20" w:noHBand="0" w:noVBand="0" w:firstColumn="0" w:lastRow="0" w:lastColumn="0" w:firstRow="1"/>
      </w:tblPr>
      <w:tblGrid>
        <w:gridCol w:w="218"/>
        <w:gridCol w:w="467"/>
        <w:gridCol w:w="426"/>
        <w:gridCol w:w="301"/>
        <w:gridCol w:w="301"/>
        <w:gridCol w:w="301"/>
        <w:gridCol w:w="260"/>
        <w:gridCol w:w="260"/>
        <w:gridCol w:w="550"/>
        <w:gridCol w:w="508"/>
        <w:gridCol w:w="550"/>
        <w:gridCol w:w="426"/>
        <w:gridCol w:w="508"/>
        <w:gridCol w:w="260"/>
        <w:gridCol w:w="343"/>
        <w:gridCol w:w="508"/>
        <w:gridCol w:w="384"/>
        <w:gridCol w:w="674"/>
        <w:gridCol w:w="426"/>
        <w:gridCol w:w="426"/>
        <w:gridCol w:w="715"/>
        <w:gridCol w:w="467"/>
        <w:gridCol w:w="467"/>
      </w:tblGrid>
      <w:tr>
        <w:trPr/>
        <w:tc>
          <w:tcPr>
            <w:tcW w:w="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id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exposure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outcome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Time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SexF</w:t>
            </w:r>
          </w:p>
        </w:tc>
        <w:tc>
          <w:tcPr>
            <w:tcW w:w="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Race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Mar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AGE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PROBLEMUse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EDUCATION</w:t>
            </w:r>
          </w:p>
        </w:tc>
        <w:tc>
          <w:tcPr>
            <w:tcW w:w="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EMPLOYMENT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RURALdc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PriorSeiz</w:t>
            </w:r>
          </w:p>
        </w:tc>
        <w:tc>
          <w:tcPr>
            <w:tcW w:w="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SCI</w:t>
            </w:r>
          </w:p>
        </w:tc>
        <w:tc>
          <w:tcPr>
            <w:tcW w:w="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Cause</w:t>
            </w:r>
          </w:p>
        </w:tc>
        <w:tc>
          <w:tcPr>
            <w:tcW w:w="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RehabPay1</w:t>
            </w:r>
          </w:p>
        </w:tc>
        <w:tc>
          <w:tcPr>
            <w:tcW w:w="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ResDis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DAYStoREHABdc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FIMMOTD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FIMCOGD</w:t>
            </w:r>
          </w:p>
        </w:tc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FollowUpPeriod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FIMMOTD4</w:t>
            </w:r>
          </w:p>
        </w:tc>
        <w:tc>
          <w:tcPr>
            <w:tcW w:w="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2B2B2" w:val="clear"/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FIMCOGD4</w:t>
            </w:r>
          </w:p>
        </w:tc>
      </w:tr>
      <w:tr>
        <w:trPr/>
        <w:tc>
          <w:tcPr>
            <w:tcW w:w="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1</w:t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6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</w:tr>
      <w:tr>
        <w:trPr/>
        <w:tc>
          <w:tcPr>
            <w:tcW w:w="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2</w:t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6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</w:tr>
      <w:tr>
        <w:trPr/>
        <w:tc>
          <w:tcPr>
            <w:tcW w:w="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3</w:t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6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</w:tr>
      <w:tr>
        <w:trPr/>
        <w:tc>
          <w:tcPr>
            <w:tcW w:w="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…</w:t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6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</w:tr>
      <w:tr>
        <w:trPr/>
        <w:tc>
          <w:tcPr>
            <w:tcW w:w="2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  <w:t>N</w:t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0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5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2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5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38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67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71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  <w:tc>
          <w:tcPr>
            <w:tcW w:w="4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ompact"/>
              <w:jc w:val="center"/>
              <w:rPr>
                <w:rFonts w:ascii="Ubuntu Mono" w:hAnsi="Ubuntu Mono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pPr>
            <w:r>
              <w:rPr>
                <w:rFonts w:ascii="Ubuntu Mono" w:hAnsi="Ubuntu Mono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8"/>
                <w:szCs w:val="12"/>
                <w:u w:val="none"/>
              </w:rPr>
            </w:r>
          </w:p>
        </w:tc>
      </w:tr>
    </w:tbl>
    <w:p>
      <w:pPr>
        <w:pStyle w:val="BodyText"/>
        <w:spacing w:before="180" w:after="180"/>
        <w:rPr/>
      </w:pPr>
      <w:bookmarkStart w:id="33" w:name="appendix"/>
      <w:bookmarkStart w:id="34" w:name="analytical-dataset"/>
      <w:bookmarkStart w:id="35" w:name="analytical-dataset_Copy_1"/>
      <w:bookmarkStart w:id="36" w:name="appendix_Copy_1"/>
      <w:r>
        <w:rPr/>
        <w:t>Due to confidentiality the data-set used in this analysis cannot be shared online in the public version of this report.</w:t>
      </w:r>
      <w:bookmarkEnd w:id="33"/>
      <w:bookmarkEnd w:id="34"/>
      <w:bookmarkEnd w:id="35"/>
      <w:bookmarkEnd w:id="36"/>
    </w:p>
    <w:sectPr>
      <w:headerReference w:type="default" r:id="rId5"/>
      <w:footerReference w:type="default" r:id="rId6"/>
      <w:type w:val="nextPage"/>
      <w:pgSz w:w="11906" w:h="16838"/>
      <w:pgMar w:left="1134" w:right="1134" w:gutter="0" w:header="567" w:top="1758" w:footer="567" w:bottom="175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Ubuntu">
    <w:charset w:val="01"/>
    <w:family w:val="auto"/>
    <w:pitch w:val="default"/>
  </w:font>
  <w:font w:name="Consolas">
    <w:charset w:val="01"/>
    <w:family w:val="auto"/>
    <w:pitch w:val="default"/>
  </w:font>
  <w:font w:name="Liberation Sans">
    <w:altName w:val="Arial"/>
    <w:charset w:val="01"/>
    <w:family w:val="auto"/>
    <w:pitch w:val="default"/>
  </w:font>
  <w:font w:name="Ubuntu Mono">
    <w:charset w:val="01"/>
    <w:family w:val="auto"/>
    <w:pitch w:val="default"/>
  </w:font>
  <w:font w:name="Ubuntu">
    <w:charset w:val="00"/>
    <w:family w:val="auto"/>
    <w:pitch w:val="default"/>
  </w:font>
  <w:font w:name="DejaVu Sans">
    <w:charset w:val="01"/>
    <w:family w:val="auto"/>
    <w:pitch w:val="default"/>
  </w:font>
  <w:font w:name="Calibri">
    <w:charset w:val="01"/>
    <w:family w:val="auto"/>
    <w:pitch w:val="default"/>
  </w:font>
  <w:font w:name="Ubuntu Mono">
    <w:charset w:val="01"/>
    <w:family w:val="auto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rPr>
        <w:lang w:val="pt-BR" w:eastAsia="en-US" w:bidi="ar-SA"/>
      </w:rPr>
    </w:pPr>
    <w:r>
      <w:rPr/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7" name="Shap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  <w:tbl>
    <w:tblPr>
      <w:tblW w:w="9621" w:type="dxa"/>
      <w:jc w:val="center"/>
      <w:tblInd w:w="0" w:type="dxa"/>
      <w:tblLayout w:type="fixed"/>
      <w:tblCellMar>
        <w:top w:w="55" w:type="dxa"/>
        <w:left w:w="55" w:type="dxa"/>
        <w:bottom w:w="55" w:type="dxa"/>
        <w:right w:w="55" w:type="dxa"/>
      </w:tblCellMar>
    </w:tblPr>
    <w:tblGrid>
      <w:gridCol w:w="4540"/>
      <w:gridCol w:w="198"/>
      <w:gridCol w:w="1633"/>
      <w:gridCol w:w="194"/>
      <w:gridCol w:w="974"/>
      <w:gridCol w:w="201"/>
      <w:gridCol w:w="638"/>
      <w:gridCol w:w="183"/>
      <w:gridCol w:w="1059"/>
    </w:tblGrid>
    <w:tr>
      <w:trPr/>
      <w:tc>
        <w:tcPr>
          <w:tcW w:w="4540" w:type="dxa"/>
          <w:tcBorders/>
          <w:vAlign w:val="center"/>
        </w:tcPr>
        <w:p>
          <w:pPr>
            <w:pStyle w:val="CabealhoeRodap"/>
            <w:widowControl w:val="false"/>
            <w:spacing w:before="57" w:after="85"/>
            <w:ind w:hanging="0" w:left="0" w:right="0"/>
            <w:jc w:val="center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18"/>
              <w:szCs w:val="18"/>
              <w:lang w:val="pt-BR" w:eastAsia="en-US" w:bidi="ar-SA"/>
            </w:rPr>
            <w:t>FF Consultoria em Bioestatística e Epidemiologia</w:t>
          </w:r>
        </w:p>
        <w:p>
          <w:pPr>
            <w:pStyle w:val="CabealhoeRodap"/>
            <w:widowControl w:val="false"/>
            <w:spacing w:before="57" w:after="85"/>
            <w:ind w:hanging="0" w:left="0" w:right="0"/>
            <w:jc w:val="center"/>
            <w:rPr>
              <w:rFonts w:ascii="Ubuntu" w:hAnsi="Ubuntu" w:eastAsia="Cambria" w:cs="" w:cstheme="minorBidi" w:eastAsiaTheme="minorHAnsi"/>
              <w:color w:val="auto"/>
              <w:kern w:val="0"/>
              <w:sz w:val="20"/>
              <w:szCs w:val="24"/>
              <w:lang w:val="pt-BR" w:eastAsia="en-US" w:bidi="ar-SA"/>
            </w:rPr>
          </w:pPr>
          <w:r>
            <w:rPr>
              <w:rFonts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pt-BR" w:eastAsia="en-US" w:bidi="ar-SA"/>
            </w:rPr>
            <w:t>CNPJ: 42.154.074/0001-22</w:t>
          </w:r>
        </w:p>
        <w:p>
          <w:pPr>
            <w:pStyle w:val="Textoprformatado"/>
            <w:widowControl w:val="false"/>
            <w:jc w:val="center"/>
            <w:rPr/>
          </w:pPr>
          <w:hyperlink r:id="rId1">
            <w:r>
              <w:rPr>
                <w:rStyle w:val="LinkdaInternet"/>
                <w:color w:val="345A8A"/>
                <w:lang w:val="pt-BR" w:eastAsia="en-US" w:bidi="ar-SA"/>
              </w:rPr>
              <w:t>https://philsf-biostat.github.io/</w:t>
            </w:r>
          </w:hyperlink>
        </w:p>
      </w:tc>
      <w:tc>
        <w:tcPr>
          <w:tcW w:w="19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1633" w:type="dxa"/>
          <w:tcBorders/>
          <w:vAlign w:val="center"/>
        </w:tcPr>
        <w:p>
          <w:pPr>
            <w:pStyle w:val="Textoprformatado"/>
            <w:widowControl w:val="false"/>
            <w:jc w:val="center"/>
            <w:rPr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  <w:t>SA</w:t>
          </w:r>
          <w:r>
            <w:rPr>
              <w:rFonts w:eastAsia="Liberation Mono" w:cs="Liberation Mono"/>
              <w:b/>
              <w:bCs/>
              <w:color w:val="auto"/>
              <w:kern w:val="0"/>
              <w:sz w:val="24"/>
              <w:szCs w:val="20"/>
              <w:lang w:val="en-US" w:eastAsia="en-US" w:bidi="ar-SA"/>
            </w:rPr>
            <w:t>R</w:t>
          </w:r>
        </w:p>
      </w:tc>
      <w:tc>
        <w:tcPr>
          <w:tcW w:w="19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r>
        </w:p>
      </w:tc>
      <w:tc>
        <w:tcPr>
          <w:tcW w:w="974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Version</w:t>
          </w:r>
        </w:p>
        <w:p>
          <w:pPr>
            <w:pStyle w:val="CabealhoeRodap"/>
            <w:widowControl w:val="false"/>
            <w:jc w:val="center"/>
            <w:rPr>
              <w:rFonts w:ascii="Arial" w:hAnsi="Arial" w:eastAsia="Cambria" w:cs="" w:cstheme="minorBidi" w:eastAsiaTheme="minorHAnsi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 w:ascii="Arial" w:hAnsi="Arial"/>
              <w:b w:val="false"/>
              <w:bCs w:val="false"/>
              <w:color w:val="auto"/>
              <w:kern w:val="0"/>
              <w:sz w:val="20"/>
              <w:szCs w:val="24"/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t>1</w:t>
          </w:r>
        </w:p>
      </w:tc>
      <w:tc>
        <w:tcPr>
          <w:tcW w:w="201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  <w:tc>
        <w:tcPr>
          <w:tcW w:w="638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Year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/>
            <w:fldChar w:fldCharType="begin"/>
          </w:r>
          <w:r>
            <w:rPr/>
            <w:instrText xml:space="preserve"> DATE \@"yyyy" </w:instrText>
          </w:r>
          <w:r>
            <w:rPr/>
            <w:fldChar w:fldCharType="separate"/>
          </w:r>
          <w:r>
            <w:rPr/>
            <w:t>2023</w:t>
          </w:r>
          <w:r>
            <w:rPr/>
            <w:fldChar w:fldCharType="end"/>
          </w:r>
        </w:p>
      </w:tc>
      <w:tc>
        <w:tcPr>
          <w:tcW w:w="183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b/>
              <w:bCs/>
              <w:lang w:val="en-US" w:eastAsia="en-US" w:bidi="ar-SA"/>
            </w:rPr>
          </w:pPr>
          <w:r>
            <w:rPr>
              <w:b/>
              <w:bCs/>
              <w:lang w:val="en-US" w:eastAsia="en-US" w:bidi="ar-SA"/>
            </w:rPr>
          </w:r>
        </w:p>
      </w:tc>
      <w:tc>
        <w:tcPr>
          <w:tcW w:w="1059" w:type="dxa"/>
          <w:tcBorders/>
          <w:vAlign w:val="center"/>
        </w:tcPr>
        <w:p>
          <w:pPr>
            <w:pStyle w:val="CabealhoeRodap"/>
            <w:widowControl w:val="false"/>
            <w:jc w:val="center"/>
            <w:rPr>
              <w:rFonts w:eastAsia="Cambria" w:cs="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Page</w:t>
          </w:r>
        </w:p>
        <w:p>
          <w:pPr>
            <w:pStyle w:val="CabealhoeRodap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  <w:p>
          <w:pPr>
            <w:pStyle w:val="Textoprformatado"/>
            <w:widowControl w:val="false"/>
            <w:jc w:val="center"/>
            <w:rPr>
              <w:lang w:val="en-US" w:eastAsia="en-US" w:bidi="ar-SA"/>
            </w:rPr>
          </w:pP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PAGE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6</w:t>
          </w:r>
          <w:r>
            <w:rPr>
              <w:lang w:val="en-US" w:eastAsia="en-US" w:bidi="ar-SA"/>
            </w:rPr>
            <w:fldChar w:fldCharType="end"/>
          </w:r>
          <w:r>
            <w:rPr>
              <w:lang w:val="en-US" w:eastAsia="en-US" w:bidi="ar-SA"/>
            </w:rPr>
            <w:t xml:space="preserve"> </w:t>
          </w:r>
          <w:r>
            <w:rPr>
              <w:lang w:val="en-US" w:eastAsia="en-US" w:bidi="ar-SA"/>
            </w:rPr>
            <w:t xml:space="preserve">/ </w:t>
          </w:r>
          <w:r>
            <w:rPr>
              <w:lang w:val="en-US" w:eastAsia="en-US" w:bidi="ar-SA"/>
            </w:rPr>
            <w:fldChar w:fldCharType="begin"/>
          </w:r>
          <w:r>
            <w:rPr>
              <w:lang w:val="en-US" w:eastAsia="en-US" w:bidi="ar-SA"/>
            </w:rPr>
            <w:instrText xml:space="preserve"> NUMPAGES </w:instrText>
          </w:r>
          <w:r>
            <w:rPr>
              <w:lang w:val="en-US" w:eastAsia="en-US" w:bidi="ar-SA"/>
            </w:rPr>
            <w:fldChar w:fldCharType="separate"/>
          </w:r>
          <w:r>
            <w:rPr>
              <w:lang w:val="en-US" w:eastAsia="en-US" w:bidi="ar-SA"/>
            </w:rPr>
            <w:t>6</w:t>
          </w:r>
          <w:r>
            <w:rPr>
              <w:lang w:val="en-US" w:eastAsia="en-US" w:bidi="ar-SA"/>
            </w:rPr>
            <w:fldChar w:fldCharType="end"/>
          </w:r>
        </w:p>
      </w:tc>
    </w:tr>
  </w:tbl>
  <w:p>
    <w:pPr>
      <w:pStyle w:val="Normal"/>
      <w:spacing w:before="0" w:after="20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638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9638"/>
    </w:tblGrid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rFonts w:ascii="Ubuntu" w:hAnsi="Ubuntu"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Consulting in Medical Statistics and Clinical Epidemiology</w:t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lang w:val="en-US" w:eastAsia="en-US" w:bidi="ar-SA"/>
            </w:rPr>
          </w:pPr>
          <w:r>
            <w:rPr>
              <w:lang w:val="en-US" w:eastAsia="en-US" w:bidi="ar-SA"/>
            </w:rPr>
          </w:r>
        </w:p>
      </w:tc>
    </w:tr>
    <w:tr>
      <w:trPr/>
      <w:tc>
        <w:tcPr>
          <w:tcW w:w="9638" w:type="dxa"/>
          <w:tcBorders/>
          <w:vAlign w:val="center"/>
        </w:tcPr>
        <w:p>
          <w:pPr>
            <w:pStyle w:val="CabealhoeRodap"/>
            <w:widowControl w:val="false"/>
            <w:rPr>
              <w:b/>
              <w:bCs/>
              <w:lang w:val="en-US" w:eastAsia="en-US" w:bidi="ar-SA"/>
            </w:rPr>
          </w:pP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 xml:space="preserve">Statistical Analysis Report </w:t>
          </w:r>
          <w:r>
            <w:rPr>
              <w:b/>
              <w:bCs/>
              <w:lang w:val="en-US" w:eastAsia="en-US" w:bidi="ar-SA"/>
            </w:rPr>
            <w:t>(SA</w:t>
          </w:r>
          <w:r>
            <w:rPr>
              <w:rFonts w:eastAsia="Cambria" w:cs="" w:cstheme="minorBidi" w:eastAsiaTheme="minorHAnsi"/>
              <w:b/>
              <w:bCs/>
              <w:color w:val="auto"/>
              <w:kern w:val="0"/>
              <w:sz w:val="20"/>
              <w:szCs w:val="24"/>
              <w:lang w:val="en-US" w:eastAsia="en-US" w:bidi="ar-SA"/>
            </w:rPr>
            <w:t>R</w:t>
          </w:r>
          <w:r>
            <w:rPr>
              <w:b/>
              <w:bCs/>
              <w:lang w:val="en-US" w:eastAsia="en-US" w:bidi="ar-SA"/>
            </w:rPr>
            <w:t>)</w:t>
          </w:r>
        </w:p>
      </w:tc>
    </w:tr>
  </w:tbl>
  <w:p>
    <w:pPr>
      <w:pStyle w:val="CabealhoeRodap"/>
      <w:rPr>
        <w:lang w:val="pt-BR" w:eastAsia="en-US" w:bidi="ar-SA"/>
      </w:rPr>
    </w:pPr>
    <w:r>
      <w:rPr>
        <w:lang w:val="pt-BR" w:eastAsia="en-US" w:bidi="ar-SA"/>
      </w:rPr>
    </w:r>
  </w:p>
  <w:p>
    <w:pPr>
      <w:pStyle w:val="Normal"/>
      <w:spacing w:before="0" w:after="200"/>
      <w:rPr>
        <w:lang w:val="pt-BR" w:eastAsia="en-US" w:bidi="ar-SA"/>
      </w:rPr>
    </w:pPr>
    <w:r>
      <w:rPr/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shape_0" adj="10800" fillcolor="silver" stroked="f" o:allowincell="f" style="position:absolute;margin-left:7.75pt;margin-top:214.75pt;width:466.4pt;height:164.2pt;mso-wrap-style:none;v-text-anchor:middle;rotation:315;mso-position-horizontal:center;mso-position-horizontal-relative:margin;mso-position-vertical:center;mso-position-vertical-relative:margin" type="_x0000_t136">
          <v:path textpathok="t"/>
          <v:textpath on="t" fitshape="t" string="DRAFT" style="font-family:&quot;Ubuntu&quot;;font-size:1pt" trim="t"/>
          <v:fill o:detectmouseclick="t" type="solid" color2="#3f3f3f" opacity="0.5"/>
          <v:stroke color="#3465a4" joinstyle="round" endcap="flat"/>
          <w10:wrap type="none"/>
        </v:shape>
      </w:pict>
      <mc:AlternateContent>
        <mc:Choice Requires="wps">
          <w:drawing>
            <wp:inline distT="0" distB="0" distL="0" distR="0">
              <wp:extent cx="6136005" cy="34925"/>
              <wp:effectExtent l="0" t="0" r="0" b="0"/>
              <wp:docPr id="6" name="Shap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5840" cy="34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000000"/>
                        </a:solidFill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3" path="m0,0l-2147483645,0l-2147483645,-2147483646l0,-2147483646xe" fillcolor="white" stroked="t" o:allowincell="f" style="position:absolute;margin-left:0pt;margin-top:-2.8pt;width:483.1pt;height:2.7pt;mso-wrap-style:none;v-text-anchor:middle;mso-position-vertical:top">
              <v:fill o:detectmouseclick="t" type="solid" color2="black"/>
              <v:stroke color="black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 %1 "/>
      <w:lvlJc w:val="left"/>
      <w:pPr>
        <w:tabs>
          <w:tab w:val="num" w:pos="0"/>
        </w:tabs>
        <w:ind w:left="0" w:hanging="0"/>
      </w:pPr>
      <w:rPr/>
    </w:lvl>
    <w:lvl w:ilvl="1">
      <w:start w:val="1"/>
      <w:pStyle w:val="Heading2"/>
      <w:numFmt w:val="decimal"/>
      <w:lvlText w:val=" %1.%2 "/>
      <w:lvlJc w:val="left"/>
      <w:pPr>
        <w:tabs>
          <w:tab w:val="num" w:pos="0"/>
        </w:tabs>
        <w:ind w:left="0" w:hanging="0"/>
      </w:pPr>
      <w:rPr/>
    </w:lvl>
    <w:lvl w:ilvl="2">
      <w:start w:val="1"/>
      <w:pStyle w:val="Heading3"/>
      <w:numFmt w:val="decimal"/>
      <w:lvlText w:val=" %1.%2.%3 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 %1.%2.%3.%4 "/>
      <w:lvlJc w:val="left"/>
      <w:pPr>
        <w:tabs>
          <w:tab w:val="num" w:pos="0"/>
        </w:tabs>
        <w:ind w:left="0" w:hanging="0"/>
      </w:pPr>
      <w:rPr/>
    </w:lvl>
    <w:lvl w:ilvl="4">
      <w:start w:val="1"/>
      <w:pStyle w:val="Heading5"/>
      <w:numFmt w:val="decimal"/>
      <w:lvlText w:val=" %1.%2.%3.%4.%5 "/>
      <w:lvlJc w:val="left"/>
      <w:pPr>
        <w:tabs>
          <w:tab w:val="num" w:pos="0"/>
        </w:tabs>
        <w:ind w:left="0" w:hanging="0"/>
      </w:pPr>
      <w:rPr/>
    </w:lvl>
    <w:lvl w:ilvl="5">
      <w:start w:val="1"/>
      <w:pStyle w:val="Heading6"/>
      <w:numFmt w:val="decimal"/>
      <w:lvlText w:val=" %1.%2.%3.%4.%5.%6 "/>
      <w:lvlJc w:val="left"/>
      <w:pPr>
        <w:tabs>
          <w:tab w:val="num" w:pos="0"/>
        </w:tabs>
        <w:ind w:left="0" w:hanging="0"/>
      </w:pPr>
      <w:rPr/>
    </w:lvl>
    <w:lvl w:ilvl="6">
      <w:start w:val="1"/>
      <w:pStyle w:val="Heading7"/>
      <w:numFmt w:val="decimal"/>
      <w:lvlText w:val=" %1.%2.%3.%4.%5.%6.%7 "/>
      <w:lvlJc w:val="left"/>
      <w:pPr>
        <w:tabs>
          <w:tab w:val="num" w:pos="0"/>
        </w:tabs>
        <w:ind w:left="0" w:hanging="0"/>
      </w:pPr>
      <w:rPr/>
    </w:lvl>
    <w:lvl w:ilvl="7">
      <w:start w:val="1"/>
      <w:pStyle w:val="Heading8"/>
      <w:numFmt w:val="decimal"/>
      <w:lvlText w:val=" %1.%2.%3.%4.%5.%6.%7.%8 "/>
      <w:lvlJc w:val="left"/>
      <w:pPr>
        <w:tabs>
          <w:tab w:val="num" w:pos="0"/>
        </w:tabs>
        <w:ind w:left="0" w:hanging="0"/>
      </w:pPr>
      <w:rPr/>
    </w:lvl>
    <w:lvl w:ilvl="8">
      <w:start w:val="1"/>
      <w:pStyle w:val="Heading9"/>
      <w:numFmt w:val="decimal"/>
      <w:lvlText w:val=" %1.%2.%3.%4.%5.%6.%7.%8.%9 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w="http://schemas.openxmlformats.org/wordprocessingml/2006/main">
  <w:zoom w:percent="75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Ubuntu" w:hAnsi="Ubuntu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Ubuntu" w:hAnsi="Ubuntu" w:eastAsia="" w:cs="" w:cstheme="majorBidi" w:eastAsiaTheme="majorEastAsia"/>
      <w:b/>
      <w:bCs/>
      <w:caps/>
      <w:color w:val="000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Ubuntu" w:hAnsi="Ubuntu" w:eastAsia="" w:cs="" w:cstheme="majorBidi" w:eastAsiaTheme="majorEastAsia"/>
      <w:b/>
      <w:bCs/>
      <w:color w:val="000000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Ubuntu" w:hAnsi="Ubuntu" w:eastAsia="" w:cs="" w:cstheme="majorBidi" w:eastAsiaTheme="majorEastAsia"/>
      <w:b/>
      <w:bCs/>
      <w:color w:val="000000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Ubuntu" w:hAnsi="Ubuntu" w:eastAsia="" w:cs="" w:cstheme="majorBidi" w:eastAsiaTheme="majorEastAsia"/>
      <w:bCs/>
      <w:i/>
      <w:color w:val="000000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Ubuntu" w:hAnsi="Ubuntu" w:eastAsia="" w:cs="" w:cstheme="majorBidi" w:eastAsiaTheme="majorEastAsia"/>
      <w:iCs/>
      <w:color w:val="000000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Ubuntu" w:hAnsi="Ubuntu" w:eastAsia="" w:cs="" w:cstheme="majorBidi" w:eastAsiaTheme="majorEastAsia"/>
      <w:color w:val="000000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Ncoradanotaderodap">
    <w:name w:val="Âncora da nota de rodapé"/>
    <w:qFormat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nkdaInternet">
    <w:name w:val="Link da Internet"/>
    <w:basedOn w:val="BodyTextChar"/>
    <w:qFormat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Vnculodendice">
    <w:name w:val="Vínculo de índice"/>
    <w:qFormat/>
    <w:rPr/>
  </w:style>
  <w:style w:type="character" w:styleId="Numeraodelinhas">
    <w:name w:val="Numeração de linhas"/>
    <w:qFormat/>
    <w:rPr/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Ubuntu" w:hAnsi="Ubuntu" w:eastAsia="Noto Sans CJK SC" w:cs="Lohit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>
      <w:rFonts w:ascii="Ubuntu" w:hAnsi="Ubuntu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ascii="Ubuntu" w:hAnsi="Ubuntu" w:cs="Lohit Devanagari"/>
      <w:lang w:val="zxx" w:eastAsia="zxx" w:bidi="zxx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0" w:after="0"/>
    </w:pPr>
    <w:rPr>
      <w:rFonts w:ascii="Ubuntu" w:hAnsi="Ubuntu"/>
    </w:rPr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Ubuntu" w:hAnsi="Ubuntu" w:eastAsia="" w:cs="" w:cstheme="majorBidi" w:eastAsiaTheme="majorEastAsia"/>
      <w:b/>
      <w:bCs/>
      <w:color w:val="000000"/>
      <w:sz w:val="32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rFonts w:ascii="Ubuntu" w:hAnsi="Ubuntu"/>
      <w:color w:val="000000"/>
      <w:sz w:val="2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suppressAutoHyphens w:val="true"/>
      <w:bidi w:val="0"/>
      <w:spacing w:before="0" w:after="200"/>
      <w:jc w:val="center"/>
    </w:pPr>
    <w:rPr>
      <w:rFonts w:ascii="Ubuntu" w:hAnsi="Ubuntu" w:eastAsia="Cambria" w:cs="" w:cstheme="minorBidi" w:eastAsiaTheme="minorHAnsi"/>
      <w:color w:val="auto"/>
      <w:kern w:val="0"/>
      <w:sz w:val="20"/>
      <w:szCs w:val="24"/>
      <w:lang w:val="en-US" w:eastAsia="en-US" w:bidi="ar-SA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a" w:customStyle="1">
    <w:name w:val="Figura"/>
    <w:basedOn w:val="Normal"/>
    <w:qFormat/>
    <w:pPr/>
    <w:rPr/>
  </w:style>
  <w:style w:type="paragraph" w:styleId="CaptionedFigure" w:customStyle="1">
    <w:name w:val="Captioned Figure"/>
    <w:basedOn w:val="Figura"/>
    <w:qFormat/>
    <w:pPr>
      <w:keepNext w:val="true"/>
    </w:pPr>
    <w:rPr/>
  </w:style>
  <w:style w:type="paragraph" w:styleId="IndexHeading">
    <w:name w:val="Index Heading"/>
    <w:basedOn w:val="Ttulo"/>
    <w:pPr>
      <w:suppressLineNumbers/>
      <w:ind w:hanging="0" w:left="0"/>
      <w:jc w:val="center"/>
    </w:pPr>
    <w:rPr>
      <w:rFonts w:ascii="Ubuntu" w:hAnsi="Ubuntu"/>
      <w:b/>
      <w:bCs/>
      <w:caps/>
      <w:sz w:val="32"/>
      <w:szCs w:val="32"/>
    </w:rPr>
  </w:style>
  <w:style w:type="paragraph" w:styleId="TOCHeading">
    <w:name w:val="TOC Heading"/>
    <w:basedOn w:val="Heading1"/>
    <w:next w:val="BodyText"/>
    <w:uiPriority w:val="39"/>
    <w:unhideWhenUsed/>
    <w:qFormat/>
    <w:pPr>
      <w:numPr>
        <w:ilvl w:val="0"/>
        <w:numId w:val="0"/>
      </w:numPr>
      <w:spacing w:lineRule="auto" w:line="259" w:before="240" w:after="0"/>
      <w:jc w:val="center"/>
      <w:outlineLvl w:val="9"/>
    </w:pPr>
    <w:rPr>
      <w:rFonts w:ascii="Ubuntu" w:hAnsi="Ubuntu" w:eastAsia="" w:cs="" w:cstheme="majorBidi" w:eastAsiaTheme="majorEastAsia"/>
      <w:b/>
      <w:bCs w:val="false"/>
      <w:color w:val="000000"/>
      <w:sz w:val="32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>
      <w:rFonts w:ascii="Ubuntu Mono" w:hAnsi="Ubuntu Mono"/>
    </w:rPr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TOC1">
    <w:name w:val="TOC 1"/>
    <w:basedOn w:val="Ndice"/>
    <w:pPr>
      <w:tabs>
        <w:tab w:val="clear" w:pos="720"/>
        <w:tab w:val="right" w:pos="9360" w:leader="dot"/>
      </w:tabs>
      <w:spacing w:before="0" w:after="0"/>
      <w:ind w:hanging="0" w:left="0"/>
    </w:pPr>
    <w:rPr>
      <w:rFonts w:ascii="Ubuntu" w:hAnsi="Ubuntu"/>
      <w:caps/>
      <w:sz w:val="20"/>
    </w:rPr>
  </w:style>
  <w:style w:type="paragraph" w:styleId="TOC2">
    <w:name w:val="TOC 2"/>
    <w:basedOn w:val="Ndice"/>
    <w:pPr>
      <w:tabs>
        <w:tab w:val="clear" w:pos="720"/>
        <w:tab w:val="right" w:pos="9077" w:leader="dot"/>
      </w:tabs>
      <w:spacing w:before="0" w:after="0"/>
      <w:ind w:hanging="0" w:left="283"/>
    </w:pPr>
    <w:rPr>
      <w:rFonts w:ascii="Ubuntu" w:hAnsi="Ubuntu"/>
      <w:sz w:val="20"/>
    </w:rPr>
  </w:style>
  <w:style w:type="paragraph" w:styleId="TOC3">
    <w:name w:val="TOC 3"/>
    <w:basedOn w:val="Ndice"/>
    <w:pPr>
      <w:tabs>
        <w:tab w:val="clear" w:pos="720"/>
        <w:tab w:val="right" w:pos="8794" w:leader="dot"/>
      </w:tabs>
      <w:spacing w:before="0" w:after="0"/>
      <w:ind w:hanging="0" w:left="566"/>
    </w:pPr>
    <w:rPr>
      <w:rFonts w:ascii="Ubuntu" w:hAnsi="Ubuntu"/>
      <w:sz w:val="20"/>
    </w:rPr>
  </w:style>
  <w:style w:type="paragraph" w:styleId="CabealhoeRodap">
    <w:name w:val="Cabeçalho e Rodapé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  <w:spacing w:lineRule="auto" w:line="276" w:before="0" w:after="0"/>
      <w:jc w:val="center"/>
    </w:pPr>
    <w:rPr>
      <w:rFonts w:ascii="Ubuntu" w:hAnsi="Ubuntu"/>
      <w:sz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CabealhoeRodap"/>
    <w:pPr>
      <w:suppressLineNumbers/>
    </w:pPr>
    <w:rPr/>
  </w:style>
  <w:style w:type="paragraph" w:styleId="Contedodatabela">
    <w:name w:val="Conteúdo da tabela"/>
    <w:basedOn w:val="Normal"/>
    <w:qFormat/>
    <w:pPr>
      <w:widowControl w:val="false"/>
      <w:suppressLineNumbers/>
      <w:spacing w:before="0" w:after="0"/>
      <w:jc w:val="center"/>
    </w:pPr>
    <w:rPr>
      <w:rFonts w:ascii="Ubuntu" w:hAnsi="Ubuntu"/>
      <w:b w:val="false"/>
      <w:bCs/>
      <w:i w:val="false"/>
      <w:iCs w:val="false"/>
      <w:strike w:val="false"/>
      <w:dstrike w:val="false"/>
      <w:outline w:val="false"/>
      <w:shadow w:val="false"/>
      <w:color w:val="000000"/>
      <w:sz w:val="22"/>
      <w:szCs w:val="22"/>
      <w:u w:val="none"/>
    </w:rPr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">
    <w:name w:val="Header"/>
    <w:basedOn w:val="CabealhoeRodap"/>
    <w:pPr>
      <w:suppressLineNumbers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Ubuntu Mono" w:hAnsi="Ubuntu Mono" w:eastAsia="Liberation Mono" w:cs="Liberation Mono"/>
      <w:sz w:val="24"/>
      <w:szCs w:val="20"/>
    </w:rPr>
  </w:style>
  <w:style w:type="paragraph" w:styleId="Sumrio10">
    <w:name w:val="Sumário 10"/>
    <w:basedOn w:val="Ndice"/>
    <w:qFormat/>
    <w:pPr>
      <w:tabs>
        <w:tab w:val="clear" w:pos="720"/>
        <w:tab w:val="right" w:pos="6813" w:leader="dot"/>
      </w:tabs>
      <w:ind w:hanging="0" w:left="2547"/>
    </w:pPr>
    <w:rPr>
      <w:rFonts w:ascii="Ubuntu" w:hAnsi="Ubuntu"/>
      <w:sz w:val="20"/>
    </w:rPr>
  </w:style>
  <w:style w:type="paragraph" w:styleId="TOC9">
    <w:name w:val="TOC 9"/>
    <w:basedOn w:val="Ndice"/>
    <w:pPr>
      <w:tabs>
        <w:tab w:val="clear" w:pos="720"/>
        <w:tab w:val="right" w:pos="7096" w:leader="dot"/>
      </w:tabs>
      <w:ind w:hanging="0" w:left="2264"/>
    </w:pPr>
    <w:rPr>
      <w:rFonts w:ascii="Ubuntu" w:hAnsi="Ubuntu"/>
      <w:sz w:val="20"/>
    </w:rPr>
  </w:style>
  <w:style w:type="paragraph" w:styleId="TOC8">
    <w:name w:val="TOC 8"/>
    <w:basedOn w:val="Ndice"/>
    <w:pPr>
      <w:tabs>
        <w:tab w:val="clear" w:pos="720"/>
        <w:tab w:val="right" w:pos="7379" w:leader="dot"/>
      </w:tabs>
      <w:ind w:hanging="0" w:left="1981"/>
    </w:pPr>
    <w:rPr>
      <w:rFonts w:ascii="Ubuntu" w:hAnsi="Ubuntu"/>
      <w:sz w:val="20"/>
    </w:rPr>
  </w:style>
  <w:style w:type="paragraph" w:styleId="TOC7">
    <w:name w:val="TOC 7"/>
    <w:basedOn w:val="Ndice"/>
    <w:pPr>
      <w:tabs>
        <w:tab w:val="clear" w:pos="720"/>
        <w:tab w:val="right" w:pos="7662" w:leader="dot"/>
      </w:tabs>
      <w:ind w:hanging="0" w:left="1698"/>
    </w:pPr>
    <w:rPr>
      <w:rFonts w:ascii="Ubuntu" w:hAnsi="Ubuntu"/>
      <w:sz w:val="20"/>
    </w:rPr>
  </w:style>
  <w:style w:type="paragraph" w:styleId="TOC6">
    <w:name w:val="TOC 6"/>
    <w:basedOn w:val="Ndice"/>
    <w:pPr>
      <w:tabs>
        <w:tab w:val="clear" w:pos="720"/>
        <w:tab w:val="right" w:pos="7945" w:leader="dot"/>
      </w:tabs>
      <w:ind w:hanging="0" w:left="1415"/>
    </w:pPr>
    <w:rPr>
      <w:rFonts w:ascii="Ubuntu" w:hAnsi="Ubuntu"/>
      <w:sz w:val="20"/>
    </w:rPr>
  </w:style>
  <w:style w:type="paragraph" w:styleId="TOC5">
    <w:name w:val="TOC 5"/>
    <w:basedOn w:val="Ndice"/>
    <w:pPr>
      <w:tabs>
        <w:tab w:val="clear" w:pos="720"/>
        <w:tab w:val="right" w:pos="8228" w:leader="dot"/>
      </w:tabs>
      <w:ind w:hanging="0" w:left="1132"/>
    </w:pPr>
    <w:rPr>
      <w:rFonts w:ascii="Ubuntu" w:hAnsi="Ubuntu"/>
      <w:sz w:val="20"/>
    </w:rPr>
  </w:style>
  <w:style w:type="paragraph" w:styleId="TOC4">
    <w:name w:val="TOC 4"/>
    <w:basedOn w:val="Ndice"/>
    <w:pPr>
      <w:tabs>
        <w:tab w:val="clear" w:pos="720"/>
        <w:tab w:val="right" w:pos="8511" w:leader="dot"/>
      </w:tabs>
      <w:ind w:hanging="0" w:left="849"/>
    </w:pPr>
    <w:rPr>
      <w:rFonts w:ascii="Ubuntu" w:hAnsi="Ubuntu"/>
      <w:sz w:val="20"/>
    </w:rPr>
  </w:style>
  <w:style w:type="paragraph" w:styleId="Ttulo10">
    <w:name w:val="Título 10"/>
    <w:basedOn w:val="Ttulo"/>
    <w:next w:val="BodyText"/>
    <w:qFormat/>
    <w:pPr>
      <w:spacing w:before="60" w:after="60"/>
      <w:outlineLvl w:val="8"/>
    </w:pPr>
    <w:rPr>
      <w:rFonts w:ascii="Ubuntu" w:hAnsi="Ubuntu"/>
      <w:b w:val="false"/>
      <w:bCs/>
      <w:sz w:val="21"/>
      <w:szCs w:val="21"/>
    </w:rPr>
  </w:style>
  <w:style w:type="paragraph" w:styleId="Ttulodondicedousurio">
    <w:name w:val="Título do índice do usuário"/>
    <w:basedOn w:val="IndexHeading"/>
    <w:qFormat/>
    <w:pPr>
      <w:suppressLineNumbers/>
      <w:ind w:hanging="0" w:left="0"/>
    </w:pPr>
    <w:rPr>
      <w:rFonts w:ascii="Ubuntu" w:hAnsi="Ubuntu"/>
      <w:b/>
      <w:bCs/>
      <w:caps/>
      <w:sz w:val="32"/>
      <w:szCs w:val="32"/>
    </w:rPr>
  </w:style>
  <w:style w:type="paragraph" w:styleId="Ttulodondicedetabelas">
    <w:name w:val="Título do índice de tabelas"/>
    <w:basedOn w:val="IndexHeading"/>
    <w:qFormat/>
    <w:pPr>
      <w:suppressLineNumbers/>
      <w:ind w:hanging="0" w:left="0"/>
    </w:pPr>
    <w:rPr>
      <w:rFonts w:ascii="Ubuntu" w:hAnsi="Ubuntu"/>
      <w:b/>
      <w:bCs/>
      <w:i w:val="false"/>
      <w:sz w:val="32"/>
      <w:szCs w:val="32"/>
    </w:rPr>
  </w:style>
  <w:style w:type="paragraph" w:styleId="Ttulodondicedeobjetos">
    <w:name w:val="Título do índice de objetos"/>
    <w:basedOn w:val="IndexHeading"/>
    <w:qFormat/>
    <w:pPr>
      <w:suppressLineNumbers/>
      <w:ind w:hanging="0" w:left="0"/>
    </w:pPr>
    <w:rPr>
      <w:rFonts w:ascii="Ubuntu" w:hAnsi="Ubuntu"/>
      <w:b/>
      <w:bCs/>
      <w:sz w:val="32"/>
      <w:szCs w:val="32"/>
    </w:rPr>
  </w:style>
  <w:style w:type="paragraph" w:styleId="Ttulodondicedefiguras">
    <w:name w:val="Título do índice de figuras"/>
    <w:basedOn w:val="IndexHeading"/>
    <w:qFormat/>
    <w:pPr>
      <w:suppressLineNumbers/>
      <w:ind w:hanging="0" w:left="0"/>
    </w:pPr>
    <w:rPr>
      <w:rFonts w:ascii="Ubuntu" w:hAnsi="Ubuntu"/>
      <w:b/>
      <w:bCs/>
      <w:i w:val="false"/>
      <w:sz w:val="32"/>
      <w:szCs w:val="32"/>
    </w:rPr>
  </w:style>
  <w:style w:type="paragraph" w:styleId="Citaes">
    <w:name w:val="Citações"/>
    <w:basedOn w:val="Normal"/>
    <w:qFormat/>
    <w:pPr>
      <w:spacing w:before="0" w:after="283"/>
      <w:ind w:hanging="0" w:left="567" w:right="567"/>
    </w:pPr>
    <w:rPr/>
  </w:style>
  <w:style w:type="paragraph" w:styleId="TableofAuthorities">
    <w:name w:val="Table of Authorities"/>
    <w:basedOn w:val="IndexHeading"/>
    <w:qFormat/>
    <w:pPr>
      <w:suppressLineNumbers/>
      <w:ind w:hanging="0" w:left="0"/>
    </w:pPr>
    <w:rPr>
      <w:b/>
      <w:bCs/>
      <w:sz w:val="28"/>
      <w:szCs w:val="32"/>
    </w:rPr>
  </w:style>
  <w:style w:type="paragraph" w:styleId="Tabela">
    <w:name w:val="Tabela"/>
    <w:basedOn w:val="Caption"/>
    <w:qFormat/>
    <w:pPr/>
    <w:rPr/>
  </w:style>
  <w:style w:type="paragraph" w:styleId="Closing">
    <w:name w:val="Closing"/>
    <w:basedOn w:val="Ttulo"/>
    <w:next w:val="BodyText"/>
    <w:qFormat/>
    <w:pPr>
      <w:jc w:val="center"/>
    </w:pPr>
    <w:rPr>
      <w:rFonts w:ascii="Ubuntu" w:hAnsi="Ubuntu"/>
      <w:b/>
      <w:bCs/>
      <w:sz w:val="32"/>
      <w:szCs w:val="32"/>
    </w:rPr>
  </w:style>
  <w:style w:type="paragraph" w:styleId="Contedodoquadro">
    <w:name w:val="Conteúdo do quadro"/>
    <w:basedOn w:val="Normal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hilsf-biostat.github.io/SAR-2023-017-BH/" TargetMode="External"/><Relationship Id="rId3" Type="http://schemas.openxmlformats.org/officeDocument/2006/relationships/hyperlink" Target="https://philsf-biostat.github.io/SAR-2023-004-BH/" TargetMode="External"/><Relationship Id="rId4" Type="http://schemas.openxmlformats.org/officeDocument/2006/relationships/hyperlink" Target="https://philsf-biostat.github.io/SAR-2023-016-BH/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philsf-biostat.github.io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Application>LibreOffice/7.6.2.1$Linux_X86_64 LibreOffice_project/60$Build-1</Application>
  <AppVersion>15.0000</AppVersion>
  <Pages>6</Pages>
  <Words>737</Words>
  <Characters>4119</Characters>
  <CharactersWithSpaces>4602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2023-09-30T01:11:23Z</dcterms:created>
  <dc:creator>From: Felipe Figueiredo To: Brennan Hickson</dc:creator>
  <dc:description/>
  <dc:language>pt-BR</dc:language>
  <cp:lastModifiedBy/>
  <dcterms:modified xsi:type="dcterms:W3CDTF">2023-09-29T22:24:47Z</dcterms:modified>
  <cp:revision>3</cp:revision>
  <dc:subject/>
  <dc:title>Sensitivity of mortality rates to the imputation of missing socioeconomic data: cohort study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2023-09-29</vt:lpwstr>
  </property>
  <property fmtid="{D5CDD505-2E9C-101B-9397-08002B2CF9AE}" pid="3" name="output">
    <vt:lpwstr/>
  </property>
  <property fmtid="{D5CDD505-2E9C-101B-9397-08002B2CF9AE}" pid="4" name="subtitle">
    <vt:lpwstr>DOCUMENT: SAR-2023-017-BH-v01</vt:lpwstr>
  </property>
</Properties>
</file>