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Sensitivity of mortality rates to the imputation of missing socioeconomic data: cohort study</w:t>
      </w:r>
    </w:p>
    <w:p>
      <w:pPr>
        <w:pStyle w:val="Subtitle"/>
        <w:rPr/>
      </w:pPr>
      <w:r>
        <w:rPr/>
        <w:t>DOCUMENT: SAR-2023-017-BH-v01</w:t>
      </w:r>
    </w:p>
    <w:p>
      <w:pPr>
        <w:pStyle w:val="Author"/>
        <w:rPr/>
      </w:pPr>
      <w:r>
        <w:rPr>
          <w:b/>
          <w:bCs/>
        </w:rPr>
        <w:t>From:</w:t>
      </w:r>
      <w:r>
        <w:rPr/>
        <w:t xml:space="preserve"> Felipe Figueiredo </w:t>
      </w:r>
      <w:r>
        <w:rPr>
          <w:b/>
          <w:bCs/>
        </w:rPr>
        <w:t>To:</w:t>
      </w:r>
      <w:r>
        <w:rPr/>
        <w:t xml:space="preserve"> Brennan Hickson</w:t>
      </w:r>
    </w:p>
    <w:p>
      <w:pPr>
        <w:pStyle w:val="Date"/>
        <w:rPr/>
      </w:pPr>
      <w:r>
        <w:rPr/>
        <w:t>2023-12-18</w:t>
      </w:r>
    </w:p>
    <w:sdt>
      <w:sdtPr>
        <w:docPartObj>
          <w:docPartGallery w:val="Table of Contents"/>
          <w:docPartUnique w:val="true"/>
        </w:docPartObj>
      </w:sdtPr>
      <w:sdtContent>
        <w:p>
          <w:pPr>
            <w:pStyle w:val="TOCHeading"/>
            <w:numPr>
              <w:ilvl w:val="0"/>
              <w:numId w:val="0"/>
            </w:numPr>
            <w:spacing w:lineRule="auto" w:line="259" w:before="240" w:after="0"/>
            <w:ind w:hanging="0" w:left="0"/>
            <w:jc w:val="center"/>
            <w:rPr>
              <w:rFonts w:ascii="Ubuntu" w:hAnsi="Ubuntu" w:eastAsia="" w:cs="" w:cstheme="majorBidi" w:eastAsiaTheme="majorEastAsia"/>
              <w:b/>
              <w:bCs w:val="false"/>
              <w:color w:val="000000"/>
              <w:sz w:val="32"/>
            </w:rPr>
          </w:pPr>
          <w:r>
            <w:rPr>
              <w:rFonts w:eastAsia="" w:cs="" w:cstheme="majorBidi" w:eastAsiaTheme="majorEastAsia"/>
              <w:b/>
              <w:bCs w:val="false"/>
              <w:color w:val="000000"/>
              <w:sz w:val="32"/>
            </w:rPr>
            <w:t>Table of Contents</w:t>
          </w:r>
        </w:p>
        <w:p>
          <w:pPr>
            <w:pStyle w:val="TOC1"/>
            <w:tabs>
              <w:tab w:val="clear" w:pos="9360"/>
              <w:tab w:val="left" w:pos="440" w:leader="none"/>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20693_3193018211">
            <w:r>
              <w:rPr>
                <w:webHidden/>
                <w:rStyle w:val="IndexLink"/>
                <w:vanish w:val="false"/>
              </w:rPr>
              <w:t xml:space="preserve"> </w:t>
            </w:r>
            <w:r>
              <w:rPr>
                <w:rStyle w:val="IndexLink"/>
              </w:rPr>
              <w:t xml:space="preserve">1 </w:t>
              <w:tab/>
              <w:t>Abbreviations</w:t>
              <w:tab/>
              <w:t>2</w:t>
            </w:r>
          </w:hyperlink>
        </w:p>
        <w:p>
          <w:pPr>
            <w:pStyle w:val="TOC1"/>
            <w:tabs>
              <w:tab w:val="clear" w:pos="9360"/>
              <w:tab w:val="left" w:pos="440" w:leader="none"/>
              <w:tab w:val="right" w:pos="9638" w:leader="dot"/>
            </w:tabs>
            <w:rPr/>
          </w:pPr>
          <w:hyperlink w:anchor="__RefHeading___Toc20695_3193018211">
            <w:r>
              <w:rPr>
                <w:webHidden/>
                <w:rStyle w:val="IndexLink"/>
                <w:vanish w:val="false"/>
              </w:rPr>
              <w:t xml:space="preserve"> </w:t>
            </w:r>
            <w:r>
              <w:rPr>
                <w:rStyle w:val="IndexLink"/>
              </w:rPr>
              <w:t xml:space="preserve">2 </w:t>
              <w:tab/>
              <w:t>Context</w:t>
              <w:tab/>
              <w:t>2</w:t>
            </w:r>
          </w:hyperlink>
        </w:p>
        <w:p>
          <w:pPr>
            <w:pStyle w:val="TOC2"/>
            <w:tabs>
              <w:tab w:val="clear" w:pos="9077"/>
              <w:tab w:val="left" w:pos="880" w:leader="none"/>
              <w:tab w:val="right" w:pos="9638" w:leader="dot"/>
            </w:tabs>
            <w:rPr/>
          </w:pPr>
          <w:hyperlink w:anchor="__RefHeading___Toc20697_3193018211">
            <w:r>
              <w:rPr>
                <w:webHidden/>
                <w:rStyle w:val="IndexLink"/>
                <w:vanish w:val="false"/>
              </w:rPr>
              <w:t xml:space="preserve"> </w:t>
            </w:r>
            <w:r>
              <w:rPr>
                <w:rStyle w:val="IndexLink"/>
              </w:rPr>
              <w:t xml:space="preserve">2.1 </w:t>
              <w:tab/>
              <w:t>Objectives</w:t>
              <w:tab/>
              <w:t>2</w:t>
            </w:r>
          </w:hyperlink>
        </w:p>
        <w:p>
          <w:pPr>
            <w:pStyle w:val="TOC1"/>
            <w:tabs>
              <w:tab w:val="clear" w:pos="9360"/>
              <w:tab w:val="left" w:pos="440" w:leader="none"/>
              <w:tab w:val="right" w:pos="9638" w:leader="dot"/>
            </w:tabs>
            <w:rPr/>
          </w:pPr>
          <w:hyperlink w:anchor="__RefHeading___Toc20699_3193018211">
            <w:r>
              <w:rPr>
                <w:webHidden/>
                <w:rStyle w:val="IndexLink"/>
                <w:vanish w:val="false"/>
              </w:rPr>
              <w:t xml:space="preserve"> </w:t>
            </w:r>
            <w:r>
              <w:rPr>
                <w:rStyle w:val="IndexLink"/>
              </w:rPr>
              <w:t xml:space="preserve">3 </w:t>
              <w:tab/>
              <w:t>Methods</w:t>
              <w:tab/>
              <w:t>2</w:t>
            </w:r>
          </w:hyperlink>
        </w:p>
        <w:p>
          <w:pPr>
            <w:pStyle w:val="TOC1"/>
            <w:tabs>
              <w:tab w:val="clear" w:pos="9360"/>
              <w:tab w:val="left" w:pos="440" w:leader="none"/>
              <w:tab w:val="right" w:pos="9638" w:leader="dot"/>
            </w:tabs>
            <w:rPr/>
          </w:pPr>
          <w:hyperlink w:anchor="__RefHeading___Toc20701_3193018211">
            <w:r>
              <w:rPr>
                <w:webHidden/>
                <w:rStyle w:val="IndexLink"/>
                <w:vanish w:val="false"/>
              </w:rPr>
              <w:t xml:space="preserve"> </w:t>
            </w:r>
            <w:r>
              <w:rPr>
                <w:rStyle w:val="IndexLink"/>
              </w:rPr>
              <w:t xml:space="preserve">4 </w:t>
              <w:tab/>
              <w:t>Results</w:t>
              <w:tab/>
              <w:t>3</w:t>
            </w:r>
          </w:hyperlink>
        </w:p>
        <w:p>
          <w:pPr>
            <w:pStyle w:val="TOC2"/>
            <w:tabs>
              <w:tab w:val="clear" w:pos="9077"/>
              <w:tab w:val="left" w:pos="880" w:leader="none"/>
              <w:tab w:val="right" w:pos="9638" w:leader="dot"/>
            </w:tabs>
            <w:rPr/>
          </w:pPr>
          <w:hyperlink w:anchor="__RefHeading___Toc20703_3193018211">
            <w:r>
              <w:rPr>
                <w:webHidden/>
                <w:rStyle w:val="IndexLink"/>
                <w:vanish w:val="false"/>
              </w:rPr>
              <w:t xml:space="preserve"> </w:t>
            </w:r>
            <w:r>
              <w:rPr>
                <w:rStyle w:val="IndexLink"/>
              </w:rPr>
              <w:t xml:space="preserve">4.1 </w:t>
              <w:tab/>
              <w:t>Missing values in the original dataset</w:t>
              <w:tab/>
              <w:t>3</w:t>
            </w:r>
          </w:hyperlink>
        </w:p>
        <w:p>
          <w:pPr>
            <w:pStyle w:val="TOC2"/>
            <w:tabs>
              <w:tab w:val="clear" w:pos="9077"/>
              <w:tab w:val="left" w:pos="880" w:leader="none"/>
              <w:tab w:val="right" w:pos="9638" w:leader="dot"/>
            </w:tabs>
            <w:rPr/>
          </w:pPr>
          <w:hyperlink w:anchor="__RefHeading___Toc20705_3193018211">
            <w:r>
              <w:rPr>
                <w:webHidden/>
                <w:rStyle w:val="IndexLink"/>
                <w:vanish w:val="false"/>
              </w:rPr>
              <w:t xml:space="preserve"> </w:t>
            </w:r>
            <w:r>
              <w:rPr>
                <w:rStyle w:val="IndexLink"/>
              </w:rPr>
              <w:t xml:space="preserve">4.2 </w:t>
              <w:tab/>
              <w:t>Sensitivity of proportional hazards violations under different dataset regimens</w:t>
              <w:tab/>
              <w:t>5</w:t>
            </w:r>
          </w:hyperlink>
        </w:p>
        <w:p>
          <w:pPr>
            <w:pStyle w:val="TOC1"/>
            <w:tabs>
              <w:tab w:val="clear" w:pos="9360"/>
              <w:tab w:val="left" w:pos="440" w:leader="none"/>
              <w:tab w:val="right" w:pos="9638" w:leader="dot"/>
            </w:tabs>
            <w:rPr/>
          </w:pPr>
          <w:hyperlink w:anchor="__RefHeading___Toc20707_3193018211">
            <w:r>
              <w:rPr>
                <w:webHidden/>
                <w:rStyle w:val="IndexLink"/>
                <w:vanish w:val="false"/>
              </w:rPr>
              <w:t xml:space="preserve"> </w:t>
            </w:r>
            <w:r>
              <w:rPr>
                <w:rStyle w:val="IndexLink"/>
              </w:rPr>
              <w:t xml:space="preserve">5 </w:t>
              <w:tab/>
              <w:t>Observations and Limitations</w:t>
              <w:tab/>
              <w:t>6</w:t>
            </w:r>
          </w:hyperlink>
        </w:p>
        <w:p>
          <w:pPr>
            <w:pStyle w:val="TOC1"/>
            <w:tabs>
              <w:tab w:val="clear" w:pos="9360"/>
              <w:tab w:val="left" w:pos="440" w:leader="none"/>
              <w:tab w:val="right" w:pos="9638" w:leader="dot"/>
            </w:tabs>
            <w:rPr/>
          </w:pPr>
          <w:hyperlink w:anchor="__RefHeading___Toc20709_3193018211">
            <w:r>
              <w:rPr>
                <w:webHidden/>
                <w:rStyle w:val="IndexLink"/>
                <w:vanish w:val="false"/>
              </w:rPr>
              <w:t xml:space="preserve"> </w:t>
            </w:r>
            <w:r>
              <w:rPr>
                <w:rStyle w:val="IndexLink"/>
              </w:rPr>
              <w:t xml:space="preserve">6 </w:t>
              <w:tab/>
              <w:t>Conclusions</w:t>
              <w:tab/>
              <w:t>7</w:t>
            </w:r>
          </w:hyperlink>
        </w:p>
        <w:p>
          <w:pPr>
            <w:pStyle w:val="TOC1"/>
            <w:tabs>
              <w:tab w:val="clear" w:pos="9360"/>
              <w:tab w:val="left" w:pos="440" w:leader="none"/>
              <w:tab w:val="right" w:pos="9638" w:leader="dot"/>
            </w:tabs>
            <w:rPr/>
          </w:pPr>
          <w:hyperlink w:anchor="__RefHeading___Toc20711_3193018211">
            <w:r>
              <w:rPr>
                <w:webHidden/>
                <w:rStyle w:val="IndexLink"/>
                <w:vanish w:val="false"/>
              </w:rPr>
              <w:t xml:space="preserve"> </w:t>
            </w:r>
            <w:r>
              <w:rPr>
                <w:rStyle w:val="IndexLink"/>
              </w:rPr>
              <w:t xml:space="preserve">7 </w:t>
              <w:tab/>
              <w:t>References</w:t>
              <w:tab/>
              <w:t>7</w:t>
            </w:r>
          </w:hyperlink>
        </w:p>
        <w:p>
          <w:pPr>
            <w:pStyle w:val="TOC1"/>
            <w:tabs>
              <w:tab w:val="clear" w:pos="9360"/>
              <w:tab w:val="left" w:pos="440" w:leader="none"/>
              <w:tab w:val="right" w:pos="9638" w:leader="dot"/>
            </w:tabs>
            <w:rPr/>
          </w:pPr>
          <w:hyperlink w:anchor="__RefHeading___Toc20713_3193018211">
            <w:r>
              <w:rPr>
                <w:webHidden/>
                <w:rStyle w:val="IndexLink"/>
                <w:vanish w:val="false"/>
              </w:rPr>
              <w:t xml:space="preserve"> </w:t>
            </w:r>
            <w:r>
              <w:rPr>
                <w:rStyle w:val="IndexLink"/>
              </w:rPr>
              <w:t xml:space="preserve">8 </w:t>
              <w:tab/>
              <w:t>Appendix</w:t>
              <w:tab/>
              <w:t>8</w:t>
            </w:r>
          </w:hyperlink>
        </w:p>
        <w:p>
          <w:pPr>
            <w:pStyle w:val="TOC2"/>
            <w:tabs>
              <w:tab w:val="clear" w:pos="9077"/>
              <w:tab w:val="left" w:pos="880" w:leader="none"/>
              <w:tab w:val="right" w:pos="9638" w:leader="dot"/>
            </w:tabs>
            <w:rPr/>
          </w:pPr>
          <w:hyperlink w:anchor="__RefHeading___Toc20715_3193018211">
            <w:r>
              <w:rPr>
                <w:webHidden/>
                <w:rStyle w:val="IndexLink"/>
                <w:vanish w:val="false"/>
              </w:rPr>
              <w:t xml:space="preserve"> </w:t>
            </w:r>
            <w:r>
              <w:rPr>
                <w:rStyle w:val="IndexLink"/>
              </w:rPr>
              <w:t xml:space="preserve">8.1 </w:t>
              <w:tab/>
              <w:t>Exploratory data analysis</w:t>
              <w:tab/>
              <w:t>8</w:t>
            </w:r>
          </w:hyperlink>
        </w:p>
        <w:p>
          <w:pPr>
            <w:pStyle w:val="TOC2"/>
            <w:tabs>
              <w:tab w:val="clear" w:pos="9077"/>
              <w:tab w:val="left" w:pos="880" w:leader="none"/>
              <w:tab w:val="right" w:pos="9638" w:leader="dot"/>
            </w:tabs>
            <w:rPr/>
          </w:pPr>
          <w:hyperlink w:anchor="__RefHeading___Toc20717_3193018211">
            <w:r>
              <w:rPr>
                <w:webHidden/>
                <w:rStyle w:val="IndexLink"/>
                <w:vanish w:val="false"/>
              </w:rPr>
              <w:t xml:space="preserve"> </w:t>
            </w:r>
            <w:r>
              <w:rPr>
                <w:rStyle w:val="IndexLink"/>
              </w:rPr>
              <w:t xml:space="preserve">8.2 </w:t>
              <w:tab/>
              <w:t>Availability</w:t>
              <w:tab/>
              <w:t>8</w:t>
            </w:r>
          </w:hyperlink>
        </w:p>
        <w:p>
          <w:pPr>
            <w:pStyle w:val="TOC2"/>
            <w:tabs>
              <w:tab w:val="clear" w:pos="9077"/>
              <w:tab w:val="left" w:pos="880" w:leader="none"/>
              <w:tab w:val="right" w:pos="9638" w:leader="dot"/>
            </w:tabs>
            <w:rPr/>
          </w:pPr>
          <w:hyperlink w:anchor="__RefHeading___Toc20719_3193018211">
            <w:r>
              <w:rPr>
                <w:webHidden/>
                <w:rStyle w:val="IndexLink"/>
                <w:vanish w:val="false"/>
              </w:rPr>
              <w:t xml:space="preserve"> </w:t>
            </w:r>
            <w:r>
              <w:rPr>
                <w:rStyle w:val="IndexLink"/>
              </w:rPr>
              <w:t xml:space="preserve">8.3 </w:t>
              <w:tab/>
              <w:t>Associated analyses</w:t>
              <w:tab/>
              <w:t>8</w:t>
            </w:r>
          </w:hyperlink>
        </w:p>
        <w:p>
          <w:pPr>
            <w:pStyle w:val="TOC2"/>
            <w:tabs>
              <w:tab w:val="clear" w:pos="9077"/>
              <w:tab w:val="left" w:pos="880" w:leader="none"/>
              <w:tab w:val="right" w:pos="9638" w:leader="dot"/>
            </w:tabs>
            <w:rPr/>
          </w:pPr>
          <w:hyperlink w:anchor="__RefHeading___Toc20721_3193018211">
            <w:r>
              <w:rPr>
                <w:webHidden/>
                <w:rStyle w:val="IndexLink"/>
                <w:vanish w:val="false"/>
              </w:rPr>
              <w:t xml:space="preserve"> </w:t>
            </w:r>
            <w:r>
              <w:rPr>
                <w:rStyle w:val="IndexLink"/>
              </w:rPr>
              <w:t xml:space="preserve">8.4 </w:t>
              <w:tab/>
              <w:t>Analytical dataset</w:t>
              <w:tab/>
              <w:t>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spacing w:before="0" w:after="240"/>
        <w:rPr/>
      </w:pPr>
      <w:r>
        <w:rPr/>
        <w:t>Sensitivity of mortality rates to the imputation of missing socioeconomic data: cohort study</w:t>
      </w:r>
    </w:p>
    <w:p>
      <w:pPr>
        <w:pStyle w:val="BodyText"/>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20693_3193018211"/>
      <w:bookmarkEnd w:id="0"/>
      <w:r>
        <w:rPr/>
        <w:t>Abbreviations</w:t>
      </w:r>
    </w:p>
    <w:p>
      <w:pPr>
        <w:pStyle w:val="Compact"/>
        <w:numPr>
          <w:ilvl w:val="0"/>
          <w:numId w:val="2"/>
        </w:numPr>
        <w:rPr/>
      </w:pPr>
      <w:r>
        <w:rPr/>
        <w:t>FIM: Functional Independence Measure</w:t>
      </w:r>
    </w:p>
    <w:p>
      <w:pPr>
        <w:pStyle w:val="Compact"/>
        <w:numPr>
          <w:ilvl w:val="0"/>
          <w:numId w:val="2"/>
        </w:numPr>
        <w:rPr/>
      </w:pPr>
      <w:r>
        <w:rPr/>
        <w:t>CI: confidence interval</w:t>
      </w:r>
    </w:p>
    <w:p>
      <w:pPr>
        <w:pStyle w:val="Compact"/>
        <w:numPr>
          <w:ilvl w:val="0"/>
          <w:numId w:val="2"/>
        </w:numPr>
        <w:rPr/>
      </w:pPr>
      <w:r>
        <w:rPr/>
        <w:t>DCI: Distress community index</w:t>
      </w:r>
    </w:p>
    <w:p>
      <w:pPr>
        <w:pStyle w:val="Compact"/>
        <w:numPr>
          <w:ilvl w:val="0"/>
          <w:numId w:val="2"/>
        </w:numPr>
        <w:rPr/>
      </w:pPr>
      <w:r>
        <w:rPr/>
        <w:t>HR: hazards ratio</w:t>
      </w:r>
    </w:p>
    <w:p>
      <w:pPr>
        <w:pStyle w:val="Compact"/>
        <w:numPr>
          <w:ilvl w:val="0"/>
          <w:numId w:val="2"/>
        </w:numPr>
        <w:rPr/>
      </w:pPr>
      <w:r>
        <w:rPr/>
        <w:t>LOCF: Last observation carried forward</w:t>
      </w:r>
    </w:p>
    <w:p>
      <w:pPr>
        <w:pStyle w:val="Compact"/>
        <w:numPr>
          <w:ilvl w:val="0"/>
          <w:numId w:val="2"/>
        </w:numPr>
        <w:rPr/>
      </w:pPr>
      <w:r>
        <w:rPr/>
        <w:t>NOCB: Next observation carried backward</w:t>
      </w:r>
    </w:p>
    <w:p>
      <w:pPr>
        <w:pStyle w:val="Compact"/>
        <w:numPr>
          <w:ilvl w:val="0"/>
          <w:numId w:val="2"/>
        </w:numPr>
        <w:rPr/>
      </w:pPr>
      <w:r>
        <w:rPr/>
        <w:t>SD: standard deviation</w:t>
      </w:r>
    </w:p>
    <w:p>
      <w:pPr>
        <w:pStyle w:val="Compact"/>
        <w:numPr>
          <w:ilvl w:val="0"/>
          <w:numId w:val="2"/>
        </w:numPr>
        <w:rPr/>
      </w:pPr>
      <w:r>
        <w:rPr/>
        <w:t>SES: socioeconomic status</w:t>
      </w:r>
    </w:p>
    <w:p>
      <w:pPr>
        <w:pStyle w:val="Compact"/>
        <w:numPr>
          <w:ilvl w:val="0"/>
          <w:numId w:val="2"/>
        </w:numPr>
        <w:rPr/>
      </w:pPr>
      <w:bookmarkStart w:id="1" w:name="abbreviations"/>
      <w:r>
        <w:rPr/>
        <w:t>TBI: Traumatic brain injury</w:t>
      </w:r>
      <w:bookmarkEnd w:id="1"/>
    </w:p>
    <w:p>
      <w:pPr>
        <w:pStyle w:val="Heading1"/>
        <w:rPr/>
      </w:pPr>
      <w:bookmarkStart w:id="2" w:name="__RefHeading___Toc20695_3193018211"/>
      <w:bookmarkEnd w:id="2"/>
      <w:r>
        <w:rPr/>
        <w:t>Context</w:t>
      </w:r>
    </w:p>
    <w:p>
      <w:pPr>
        <w:pStyle w:val="Heading2"/>
        <w:rPr/>
      </w:pPr>
      <w:bookmarkStart w:id="3" w:name="__RefHeading___Toc20697_3193018211"/>
      <w:bookmarkEnd w:id="3"/>
      <w:r>
        <w:rPr/>
        <w:t>Objectives</w:t>
      </w:r>
    </w:p>
    <w:p>
      <w:pPr>
        <w:pStyle w:val="Compact"/>
        <w:numPr>
          <w:ilvl w:val="0"/>
          <w:numId w:val="8"/>
        </w:numPr>
        <w:rPr/>
      </w:pPr>
      <w:r>
        <w:rPr/>
        <w:t>To describe the missingness in zip codes at each follow up collection;</w:t>
      </w:r>
    </w:p>
    <w:p>
      <w:pPr>
        <w:pStyle w:val="Compact"/>
        <w:numPr>
          <w:ilvl w:val="0"/>
          <w:numId w:val="9"/>
        </w:numPr>
        <w:rPr/>
      </w:pPr>
      <w:r>
        <w:rPr/>
        <w:t>To impute missing Zip codes with data available in previous follow up collections.</w:t>
      </w:r>
    </w:p>
    <w:p>
      <w:pPr>
        <w:pStyle w:val="Compact"/>
        <w:numPr>
          <w:ilvl w:val="0"/>
          <w:numId w:val="10"/>
        </w:numPr>
        <w:rPr/>
      </w:pPr>
      <w:bookmarkStart w:id="4" w:name="objectives"/>
      <w:bookmarkStart w:id="5" w:name="context"/>
      <w:r>
        <w:rPr/>
        <w:t>To assess the sensitivity of the association between mortality and socioeconomic status to the imputation of participant missing location.</w:t>
      </w:r>
      <w:bookmarkEnd w:id="4"/>
      <w:bookmarkEnd w:id="5"/>
    </w:p>
    <w:p>
      <w:pPr>
        <w:pStyle w:val="Heading1"/>
        <w:rPr/>
      </w:pPr>
      <w:bookmarkStart w:id="6" w:name="__RefHeading___Toc20699_3193018211"/>
      <w:bookmarkStart w:id="7" w:name="methods"/>
      <w:bookmarkEnd w:id="6"/>
      <w:r>
        <w:rPr/>
        <w:t>Methods</w:t>
      </w:r>
    </w:p>
    <w:p>
      <w:pPr>
        <w:pStyle w:val="FirstParagraph"/>
        <w:rPr/>
      </w:pPr>
      <w:r>
        <w:rPr/>
        <w:t xml:space="preserve">The data procedures, design and analysis methods used in this report are fully described in the annex document </w:t>
      </w:r>
      <w:r>
        <w:rPr>
          <w:b/>
          <w:bCs/>
        </w:rPr>
        <w:t>SAP-2023-017-BH-v01</w:t>
      </w:r>
      <w:r>
        <w:rPr/>
        <w:t>.</w:t>
      </w:r>
    </w:p>
    <w:p>
      <w:pPr>
        <w:pStyle w:val="BodyText"/>
        <w:rPr/>
      </w:pPr>
      <w:r>
        <w:rPr/>
        <w:t xml:space="preserve">This analysis was performed using statistical software </w:t>
      </w:r>
      <w:r>
        <w:rPr>
          <w:rStyle w:val="VerbatimChar"/>
        </w:rPr>
        <w:t>R</w:t>
      </w:r>
      <w:r>
        <w:rPr/>
        <w:t xml:space="preserve"> version 4.3.0.</w:t>
      </w:r>
      <w:bookmarkEnd w:id="7"/>
    </w:p>
    <w:p>
      <w:pPr>
        <w:pStyle w:val="Heading1"/>
        <w:rPr/>
      </w:pPr>
      <w:bookmarkStart w:id="8" w:name="__RefHeading___Toc20701_3193018211"/>
      <w:bookmarkEnd w:id="8"/>
      <w:r>
        <w:rPr/>
        <w:t>Results</w:t>
      </w:r>
    </w:p>
    <w:p>
      <w:pPr>
        <w:pStyle w:val="Heading2"/>
        <w:rPr/>
      </w:pPr>
      <w:bookmarkStart w:id="9" w:name="__RefHeading___Toc20703_3193018211"/>
      <w:bookmarkEnd w:id="9"/>
      <w:r>
        <w:rPr/>
        <w:t>Missing values in the original dataset</w:t>
      </w:r>
    </w:p>
    <w:p>
      <w:pPr>
        <w:pStyle w:val="FirstParagraph"/>
        <w:rPr/>
      </w:pPr>
      <w:r>
        <w:rPr/>
        <w:t>Table 1 shows how the number of outcome events increase when missing zip codes are imputed under the various imputation approaches employed. In all datasets the ID pool remains unchanged, meaning no participant that was dropped was recovered after the imputation approaches evaluated. Only a small number of new outcome events are gained when the multiple observations per individuals are considered. The distribution of frequencies of the SES categories vary slightly between approaches, but these proportions appear to be robust to changes in the underlying zip code imputations.</w:t>
      </w:r>
    </w:p>
    <w:p>
      <w:pPr>
        <w:pStyle w:val="TableCaption"/>
        <w:keepNext w:val="true"/>
        <w:spacing w:lineRule="exact" w:line="240" w:before="60" w:after="60"/>
        <w:ind w:hanging="0" w:left="60" w:right="60"/>
        <w:jc w:val="center"/>
        <w:rPr/>
      </w:pPr>
      <w:r>
        <w:rPr>
          <w:b/>
          <w:bCs/>
        </w:rPr>
        <w:t>Table 1</w:t>
      </w:r>
      <w:r>
        <w:rPr/>
        <w:t xml:space="preserve"> Distribution of variables in the data under various imputation approaches.</w:t>
      </w:r>
    </w:p>
    <w:tbl>
      <w:tblPr>
        <w:tblW w:w="9635" w:type="dxa"/>
        <w:jc w:val="center"/>
        <w:tblInd w:w="0" w:type="dxa"/>
        <w:tblLayout w:type="fixed"/>
        <w:tblCellMar>
          <w:top w:w="0" w:type="dxa"/>
          <w:left w:w="0" w:type="dxa"/>
          <w:bottom w:w="0" w:type="dxa"/>
          <w:right w:w="0" w:type="dxa"/>
        </w:tblCellMar>
        <w:tblLook w:noHBand="0" w:noVBand="1" w:firstColumn="0" w:lastRow="0" w:lastColumn="0" w:firstRow="1"/>
      </w:tblPr>
      <w:tblGrid>
        <w:gridCol w:w="1378"/>
        <w:gridCol w:w="1376"/>
        <w:gridCol w:w="1376"/>
        <w:gridCol w:w="1377"/>
        <w:gridCol w:w="1376"/>
        <w:gridCol w:w="1376"/>
        <w:gridCol w:w="1375"/>
      </w:tblGrid>
      <w:tr>
        <w:trPr>
          <w:tblHeader w:val="true"/>
          <w:trHeight w:val="624" w:hRule="atLeast"/>
        </w:trPr>
        <w:tc>
          <w:tcPr>
            <w:tcW w:w="1378"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left"/>
              <w:rPr>
                <w:rFonts w:eastAsia="DejaVu Sans" w:cs="DejaVu Sans"/>
                <w:b w:val="false"/>
                <w:i w:val="false"/>
                <w:i w:val="false"/>
                <w:color w:val="000000"/>
                <w:u w:val="none"/>
              </w:rPr>
            </w:pPr>
            <w:r>
              <w:rPr>
                <w:rFonts w:eastAsia="DejaVu Sans" w:cs="DejaVu Sans"/>
                <w:b w:val="false"/>
                <w:i w:val="false"/>
                <w:color w:val="000000"/>
                <w:u w:val="none"/>
              </w:rPr>
            </w:r>
          </w:p>
        </w:tc>
        <w:tc>
          <w:tcPr>
            <w:tcW w:w="4129" w:type="dxa"/>
            <w:gridSpan w:val="3"/>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Single observation per individual</w:t>
            </w:r>
          </w:p>
        </w:tc>
        <w:tc>
          <w:tcPr>
            <w:tcW w:w="4127" w:type="dxa"/>
            <w:gridSpan w:val="3"/>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Multiple observations per individual</w:t>
            </w:r>
          </w:p>
        </w:tc>
      </w:tr>
      <w:tr>
        <w:trPr>
          <w:tblHeader w:val="true"/>
          <w:trHeight w:val="600" w:hRule="atLeast"/>
        </w:trPr>
        <w:tc>
          <w:tcPr>
            <w:tcW w:w="1378"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left"/>
              <w:rPr>
                <w:rFonts w:ascii="Ubuntu" w:hAnsi="Ubuntu"/>
                <w:sz w:val="16"/>
                <w:szCs w:val="16"/>
              </w:rPr>
            </w:pPr>
            <w:r>
              <w:rPr>
                <w:rFonts w:eastAsia="DejaVu Sans" w:cs="DejaVu Sans"/>
                <w:b/>
                <w:i w:val="false"/>
                <w:color w:val="000000"/>
                <w:sz w:val="16"/>
                <w:szCs w:val="16"/>
                <w:u w:val="none"/>
              </w:rPr>
              <w:t>Characteristic</w:t>
            </w:r>
          </w:p>
        </w:tc>
        <w:tc>
          <w:tcPr>
            <w:tcW w:w="1376"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CC</w:t>
            </w:r>
            <w:r>
              <w:rPr>
                <w:rFonts w:eastAsia="DejaVu Sans" w:cs="DejaVu Sans"/>
                <w:b w:val="false"/>
                <w:i w:val="false"/>
                <w:color w:val="000000"/>
                <w:sz w:val="16"/>
                <w:szCs w:val="16"/>
                <w:u w:val="none"/>
              </w:rPr>
              <w:t>, N = 7,978</w:t>
            </w:r>
            <w:r>
              <w:rPr>
                <w:rFonts w:eastAsia="DejaVu Sans" w:cs="DejaVu Sans"/>
                <w:b w:val="false"/>
                <w:i w:val="false"/>
                <w:color w:val="000000"/>
                <w:sz w:val="16"/>
                <w:szCs w:val="16"/>
                <w:u w:val="none"/>
                <w:vertAlign w:val="superscript"/>
              </w:rPr>
              <w:t>1</w:t>
            </w:r>
          </w:p>
        </w:tc>
        <w:tc>
          <w:tcPr>
            <w:tcW w:w="1376"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LOCF</w:t>
            </w:r>
            <w:r>
              <w:rPr>
                <w:rFonts w:eastAsia="DejaVu Sans" w:cs="DejaVu Sans"/>
                <w:b w:val="false"/>
                <w:i w:val="false"/>
                <w:color w:val="000000"/>
                <w:sz w:val="16"/>
                <w:szCs w:val="16"/>
                <w:u w:val="none"/>
              </w:rPr>
              <w:t>, N = 7,978</w:t>
            </w:r>
            <w:r>
              <w:rPr>
                <w:rFonts w:eastAsia="DejaVu Sans" w:cs="DejaVu Sans"/>
                <w:b w:val="false"/>
                <w:i w:val="false"/>
                <w:color w:val="000000"/>
                <w:sz w:val="16"/>
                <w:szCs w:val="16"/>
                <w:u w:val="none"/>
                <w:vertAlign w:val="superscript"/>
              </w:rPr>
              <w:t>1</w:t>
            </w:r>
          </w:p>
        </w:tc>
        <w:tc>
          <w:tcPr>
            <w:tcW w:w="1377"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LOCF+NOCB</w:t>
            </w:r>
            <w:r>
              <w:rPr>
                <w:rFonts w:eastAsia="DejaVu Sans" w:cs="DejaVu Sans"/>
                <w:b w:val="false"/>
                <w:i w:val="false"/>
                <w:color w:val="000000"/>
                <w:sz w:val="16"/>
                <w:szCs w:val="16"/>
                <w:u w:val="none"/>
              </w:rPr>
              <w:t>, N = 7,978</w:t>
            </w:r>
            <w:r>
              <w:rPr>
                <w:rFonts w:eastAsia="DejaVu Sans" w:cs="DejaVu Sans"/>
                <w:b w:val="false"/>
                <w:i w:val="false"/>
                <w:color w:val="000000"/>
                <w:sz w:val="16"/>
                <w:szCs w:val="16"/>
                <w:u w:val="none"/>
                <w:vertAlign w:val="superscript"/>
              </w:rPr>
              <w:t>1</w:t>
            </w:r>
          </w:p>
        </w:tc>
        <w:tc>
          <w:tcPr>
            <w:tcW w:w="1376"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CC</w:t>
            </w:r>
            <w:r>
              <w:rPr>
                <w:rFonts w:eastAsia="DejaVu Sans" w:cs="DejaVu Sans"/>
                <w:b w:val="false"/>
                <w:i w:val="false"/>
                <w:color w:val="000000"/>
                <w:sz w:val="16"/>
                <w:szCs w:val="16"/>
                <w:u w:val="none"/>
              </w:rPr>
              <w:t>, N = 24,282</w:t>
            </w:r>
            <w:r>
              <w:rPr>
                <w:rFonts w:eastAsia="DejaVu Sans" w:cs="DejaVu Sans"/>
                <w:b w:val="false"/>
                <w:i w:val="false"/>
                <w:color w:val="000000"/>
                <w:sz w:val="16"/>
                <w:szCs w:val="16"/>
                <w:u w:val="none"/>
                <w:vertAlign w:val="superscript"/>
              </w:rPr>
              <w:t>1</w:t>
            </w:r>
          </w:p>
        </w:tc>
        <w:tc>
          <w:tcPr>
            <w:tcW w:w="1376"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LOCF</w:t>
            </w:r>
            <w:r>
              <w:rPr>
                <w:rFonts w:eastAsia="DejaVu Sans" w:cs="DejaVu Sans"/>
                <w:b w:val="false"/>
                <w:i w:val="false"/>
                <w:color w:val="000000"/>
                <w:sz w:val="16"/>
                <w:szCs w:val="16"/>
                <w:u w:val="none"/>
              </w:rPr>
              <w:t>, N = 24,282</w:t>
            </w:r>
            <w:r>
              <w:rPr>
                <w:rFonts w:eastAsia="DejaVu Sans" w:cs="DejaVu Sans"/>
                <w:b w:val="false"/>
                <w:i w:val="false"/>
                <w:color w:val="000000"/>
                <w:sz w:val="16"/>
                <w:szCs w:val="16"/>
                <w:u w:val="none"/>
                <w:vertAlign w:val="superscript"/>
              </w:rPr>
              <w:t>1</w:t>
            </w:r>
          </w:p>
        </w:tc>
        <w:tc>
          <w:tcPr>
            <w:tcW w:w="1375"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LOCF+NOCB</w:t>
            </w:r>
            <w:r>
              <w:rPr>
                <w:rFonts w:eastAsia="DejaVu Sans" w:cs="DejaVu Sans"/>
                <w:b w:val="false"/>
                <w:i w:val="false"/>
                <w:color w:val="000000"/>
                <w:sz w:val="16"/>
                <w:szCs w:val="16"/>
                <w:u w:val="none"/>
              </w:rPr>
              <w:t>, N = 24,282</w:t>
            </w:r>
            <w:r>
              <w:rPr>
                <w:rFonts w:eastAsia="DejaVu Sans" w:cs="DejaVu Sans"/>
                <w:b w:val="false"/>
                <w:i w:val="false"/>
                <w:color w:val="000000"/>
                <w:sz w:val="16"/>
                <w:szCs w:val="16"/>
                <w:u w:val="none"/>
                <w:vertAlign w:val="superscript"/>
              </w:rPr>
              <w:t>1</w:t>
            </w:r>
          </w:p>
        </w:tc>
      </w:tr>
      <w:tr>
        <w:trPr>
          <w:trHeight w:val="600" w:hRule="atLeast"/>
        </w:trPr>
        <w:tc>
          <w:tcPr>
            <w:tcW w:w="1378" w:type="dxa"/>
            <w:tcBorders>
              <w:top w:val="single" w:sz="8" w:space="0" w:color="000000"/>
            </w:tcBorders>
            <w:shd w:color="auto" w:fill="FFFFFF" w:val="clear"/>
          </w:tcPr>
          <w:p>
            <w:pPr>
              <w:pStyle w:val="Normal"/>
              <w:spacing w:lineRule="exact" w:line="240" w:before="0" w:after="0"/>
              <w:ind w:hanging="0" w:left="100" w:right="100"/>
              <w:jc w:val="left"/>
              <w:rPr>
                <w:rFonts w:ascii="Ubuntu" w:hAnsi="Ubuntu"/>
                <w:sz w:val="16"/>
                <w:szCs w:val="16"/>
              </w:rPr>
            </w:pPr>
            <w:r>
              <w:rPr>
                <w:rFonts w:eastAsia="DejaVu Sans" w:cs="DejaVu Sans"/>
                <w:b w:val="false"/>
                <w:i w:val="false"/>
                <w:color w:val="000000"/>
                <w:sz w:val="16"/>
                <w:szCs w:val="16"/>
                <w:u w:val="none"/>
              </w:rPr>
              <w:t>outcome, n</w:t>
            </w:r>
          </w:p>
        </w:tc>
        <w:tc>
          <w:tcPr>
            <w:tcW w:w="1376"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1,003</w:t>
            </w:r>
          </w:p>
        </w:tc>
        <w:tc>
          <w:tcPr>
            <w:tcW w:w="1376"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1,003</w:t>
            </w:r>
          </w:p>
        </w:tc>
        <w:tc>
          <w:tcPr>
            <w:tcW w:w="1377"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1,003</w:t>
            </w:r>
          </w:p>
        </w:tc>
        <w:tc>
          <w:tcPr>
            <w:tcW w:w="1376"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1,006</w:t>
            </w:r>
          </w:p>
        </w:tc>
        <w:tc>
          <w:tcPr>
            <w:tcW w:w="1376"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1,006</w:t>
            </w:r>
          </w:p>
        </w:tc>
        <w:tc>
          <w:tcPr>
            <w:tcW w:w="1375"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1,006</w:t>
            </w:r>
          </w:p>
        </w:tc>
      </w:tr>
      <w:tr>
        <w:trPr>
          <w:trHeight w:val="623" w:hRule="atLeast"/>
        </w:trPr>
        <w:tc>
          <w:tcPr>
            <w:tcW w:w="1378" w:type="dxa"/>
            <w:tcBorders/>
            <w:shd w:color="auto" w:fill="FFFFFF" w:val="clear"/>
          </w:tcPr>
          <w:p>
            <w:pPr>
              <w:pStyle w:val="Normal"/>
              <w:spacing w:lineRule="exact" w:line="240" w:before="0" w:after="0"/>
              <w:ind w:hanging="0" w:left="100" w:right="100"/>
              <w:jc w:val="left"/>
              <w:rPr>
                <w:rFonts w:ascii="Ubuntu" w:hAnsi="Ubuntu"/>
                <w:sz w:val="16"/>
                <w:szCs w:val="16"/>
              </w:rPr>
            </w:pPr>
            <w:r>
              <w:rPr>
                <w:rFonts w:eastAsia="DejaVu Sans" w:cs="DejaVu Sans"/>
                <w:b w:val="false"/>
                <w:i w:val="false"/>
                <w:color w:val="000000"/>
                <w:sz w:val="16"/>
                <w:szCs w:val="16"/>
                <w:u w:val="none"/>
              </w:rPr>
              <w:t>exposure, n (%)</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77" w:type="dxa"/>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75" w:type="dxa"/>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r>
      <w:tr>
        <w:trPr>
          <w:trHeight w:val="617" w:hRule="atLeast"/>
        </w:trPr>
        <w:tc>
          <w:tcPr>
            <w:tcW w:w="1378" w:type="dxa"/>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Prosperous</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1,421 (22%)</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1,428 (22%)</w:t>
            </w:r>
          </w:p>
        </w:tc>
        <w:tc>
          <w:tcPr>
            <w:tcW w:w="1377"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1,430 (22%)</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4,363 (23%)</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4,573 (23%)</w:t>
            </w:r>
          </w:p>
        </w:tc>
        <w:tc>
          <w:tcPr>
            <w:tcW w:w="1375"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4,577 (23%)</w:t>
            </w:r>
          </w:p>
        </w:tc>
      </w:tr>
      <w:tr>
        <w:trPr>
          <w:trHeight w:val="607" w:hRule="atLeast"/>
        </w:trPr>
        <w:tc>
          <w:tcPr>
            <w:tcW w:w="1378" w:type="dxa"/>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Comfortable</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1,327 (20%)</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1,339 (20%)</w:t>
            </w:r>
          </w:p>
        </w:tc>
        <w:tc>
          <w:tcPr>
            <w:tcW w:w="1377"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1,341 (20%)</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3,862 (20%)</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4,070 (20%)</w:t>
            </w:r>
          </w:p>
        </w:tc>
        <w:tc>
          <w:tcPr>
            <w:tcW w:w="1375"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4,072 (20%)</w:t>
            </w:r>
          </w:p>
        </w:tc>
      </w:tr>
      <w:tr>
        <w:trPr>
          <w:trHeight w:val="607" w:hRule="atLeast"/>
        </w:trPr>
        <w:tc>
          <w:tcPr>
            <w:tcW w:w="1378" w:type="dxa"/>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Mid-Tier</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1,221 (19%)</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1,237 (19%)</w:t>
            </w:r>
          </w:p>
        </w:tc>
        <w:tc>
          <w:tcPr>
            <w:tcW w:w="1377"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1,238 (19%)</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3,573 (19%)</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3,764 (19%)</w:t>
            </w:r>
          </w:p>
        </w:tc>
        <w:tc>
          <w:tcPr>
            <w:tcW w:w="1375"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3,765 (19%)</w:t>
            </w:r>
          </w:p>
        </w:tc>
      </w:tr>
      <w:tr>
        <w:trPr>
          <w:trHeight w:val="607" w:hRule="atLeast"/>
        </w:trPr>
        <w:tc>
          <w:tcPr>
            <w:tcW w:w="1378" w:type="dxa"/>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At-Risk</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1,287 (20%)</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1,296 (20%)</w:t>
            </w:r>
          </w:p>
        </w:tc>
        <w:tc>
          <w:tcPr>
            <w:tcW w:w="1377"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1,299 (20%)</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3,782 (20%)</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3,993 (20%)</w:t>
            </w:r>
          </w:p>
        </w:tc>
        <w:tc>
          <w:tcPr>
            <w:tcW w:w="1375"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3,997 (20%)</w:t>
            </w:r>
          </w:p>
        </w:tc>
      </w:tr>
      <w:tr>
        <w:trPr>
          <w:trHeight w:val="607" w:hRule="atLeast"/>
        </w:trPr>
        <w:tc>
          <w:tcPr>
            <w:tcW w:w="1378" w:type="dxa"/>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Distressed</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1,285 (20%)</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1,291 (20%)</w:t>
            </w:r>
          </w:p>
        </w:tc>
        <w:tc>
          <w:tcPr>
            <w:tcW w:w="1377"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1,294 (20%)</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3,696 (19%)</w:t>
            </w:r>
          </w:p>
        </w:tc>
        <w:tc>
          <w:tcPr>
            <w:tcW w:w="1376"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3,905 (19%)</w:t>
            </w:r>
          </w:p>
        </w:tc>
        <w:tc>
          <w:tcPr>
            <w:tcW w:w="1375"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3,910 (19%)</w:t>
            </w:r>
          </w:p>
        </w:tc>
      </w:tr>
      <w:tr>
        <w:trPr>
          <w:trHeight w:val="624" w:hRule="atLeast"/>
        </w:trPr>
        <w:tc>
          <w:tcPr>
            <w:tcW w:w="1378" w:type="dxa"/>
            <w:tcBorders>
              <w:bottom w:val="single" w:sz="8" w:space="0" w:color="000000"/>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Missing</w:t>
            </w:r>
          </w:p>
        </w:tc>
        <w:tc>
          <w:tcPr>
            <w:tcW w:w="1376"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1,437</w:t>
            </w:r>
          </w:p>
        </w:tc>
        <w:tc>
          <w:tcPr>
            <w:tcW w:w="1376"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1,387</w:t>
            </w:r>
          </w:p>
        </w:tc>
        <w:tc>
          <w:tcPr>
            <w:tcW w:w="1377"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1,376</w:t>
            </w:r>
          </w:p>
        </w:tc>
        <w:tc>
          <w:tcPr>
            <w:tcW w:w="1376"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5,006</w:t>
            </w:r>
          </w:p>
        </w:tc>
        <w:tc>
          <w:tcPr>
            <w:tcW w:w="1376"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3,977</w:t>
            </w:r>
          </w:p>
        </w:tc>
        <w:tc>
          <w:tcPr>
            <w:tcW w:w="1375"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3,961</w:t>
            </w:r>
          </w:p>
        </w:tc>
      </w:tr>
      <w:tr>
        <w:trPr>
          <w:trHeight w:val="360" w:hRule="atLeast"/>
        </w:trPr>
        <w:tc>
          <w:tcPr>
            <w:tcW w:w="9634" w:type="dxa"/>
            <w:gridSpan w:val="7"/>
            <w:tcBorders>
              <w:top w:val="single" w:sz="8" w:space="0" w:color="000000"/>
            </w:tcBorders>
            <w:shd w:color="auto" w:fill="FFFFFF" w:val="clear"/>
            <w:vAlign w:val="center"/>
          </w:tcPr>
          <w:p>
            <w:pPr>
              <w:pStyle w:val="Normal"/>
              <w:spacing w:lineRule="exact" w:line="240" w:before="0" w:after="0"/>
              <w:ind w:hanging="0" w:left="100" w:right="100"/>
              <w:jc w:val="left"/>
              <w:rPr>
                <w:rFonts w:ascii="Ubuntu" w:hAnsi="Ubuntu"/>
                <w:sz w:val="16"/>
                <w:szCs w:val="16"/>
              </w:rPr>
            </w:pPr>
            <w:r>
              <w:rPr>
                <w:rFonts w:eastAsia="DejaVu Sans" w:cs="DejaVu Sans"/>
                <w:b w:val="false"/>
                <w:i w:val="false"/>
                <w:color w:val="000000"/>
                <w:sz w:val="16"/>
                <w:szCs w:val="16"/>
                <w:u w:val="none"/>
                <w:vertAlign w:val="superscript"/>
              </w:rPr>
              <w:t>1</w:t>
            </w:r>
            <w:r>
              <w:rPr>
                <w:rFonts w:eastAsia="DejaVu Sans" w:cs="DejaVu Sans"/>
                <w:b w:val="false"/>
                <w:i w:val="false"/>
                <w:color w:val="000000"/>
                <w:sz w:val="16"/>
                <w:szCs w:val="16"/>
                <w:u w:val="none"/>
              </w:rPr>
              <w:t>CC = complete-cases (not imputed), LOCF = last observation carried forward, NOCB = next observation carried backward</w:t>
            </w:r>
          </w:p>
        </w:tc>
      </w:tr>
    </w:tbl>
    <w:p>
      <w:pPr>
        <w:pStyle w:val="BodyText"/>
        <w:rPr/>
      </w:pPr>
      <w:r>
        <w:rPr/>
        <w:t xml:space="preserve">After dropping incomplete cases to inspect the data available to the model, we can anticipate how the model might be impacted by the imputations (Table 2). Surprisingly all three datasets under the “single observation per individual” approach are the same, and this was validated by the </w:t>
      </w:r>
      <w:r>
        <w:rPr>
          <w:rStyle w:val="VerbatimChar"/>
        </w:rPr>
        <w:t>all.equal()</w:t>
      </w:r>
      <w:r>
        <w:rPr/>
        <w:t xml:space="preserve"> function that performs a binary comparison between data frames. No changes to the data available for modelling can be detected using any of the imputation approaches for this dataset.</w:t>
      </w:r>
    </w:p>
    <w:p>
      <w:pPr>
        <w:pStyle w:val="Table"/>
        <w:keepNext w:val="true"/>
        <w:rPr/>
      </w:pPr>
      <w:r>
        <w:rPr>
          <w:b/>
          <w:bCs/>
        </w:rPr>
        <w:t>Table 2</w:t>
      </w:r>
      <w:r>
        <w:rPr/>
        <w:t xml:space="preserve"> Number of death events available to models in each dataset</w:t>
      </w:r>
    </w:p>
    <w:tbl>
      <w:tblPr>
        <w:tblW w:w="3400" w:type="dxa"/>
        <w:jc w:val="center"/>
        <w:tblInd w:w="0" w:type="dxa"/>
        <w:tblLayout w:type="fixed"/>
        <w:tblCellMar>
          <w:top w:w="55" w:type="dxa"/>
          <w:left w:w="55" w:type="dxa"/>
          <w:bottom w:w="55" w:type="dxa"/>
          <w:right w:w="55" w:type="dxa"/>
        </w:tblCellMar>
        <w:tblLook w:noHBand="0" w:noVBand="0" w:firstColumn="0" w:lastRow="0" w:lastColumn="0" w:firstRow="0"/>
      </w:tblPr>
      <w:tblGrid>
        <w:gridCol w:w="1700"/>
        <w:gridCol w:w="1699"/>
      </w:tblGrid>
      <w:tr>
        <w:trPr>
          <w:cantSplit w:val="true"/>
        </w:trPr>
        <w:tc>
          <w:tcPr>
            <w:tcW w:w="1700" w:type="dxa"/>
            <w:tcBorders>
              <w:top w:val="single" w:sz="4" w:space="0" w:color="000000"/>
              <w:left w:val="single" w:sz="4" w:space="0" w:color="000000"/>
              <w:bottom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dataset</w:t>
            </w:r>
          </w:p>
        </w:tc>
        <w:tc>
          <w:tcPr>
            <w:tcW w:w="1699"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n</w:t>
            </w:r>
          </w:p>
        </w:tc>
      </w:tr>
      <w:tr>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sing_cc</w:t>
            </w:r>
          </w:p>
        </w:tc>
        <w:tc>
          <w:tcPr>
            <w:tcW w:w="1699"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693</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sing_locf</w:t>
            </w:r>
          </w:p>
        </w:tc>
        <w:tc>
          <w:tcPr>
            <w:tcW w:w="1699"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693</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sing_locf+nocb</w:t>
            </w:r>
          </w:p>
        </w:tc>
        <w:tc>
          <w:tcPr>
            <w:tcW w:w="1699"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693</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mult_cc</w:t>
            </w:r>
          </w:p>
        </w:tc>
        <w:tc>
          <w:tcPr>
            <w:tcW w:w="1699"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mult_locf</w:t>
            </w:r>
          </w:p>
        </w:tc>
        <w:tc>
          <w:tcPr>
            <w:tcW w:w="1699"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694</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mult_locf+nocb</w:t>
            </w:r>
          </w:p>
        </w:tc>
        <w:tc>
          <w:tcPr>
            <w:tcW w:w="1699"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694</w:t>
            </w:r>
          </w:p>
        </w:tc>
      </w:tr>
    </w:tbl>
    <w:p>
      <w:pPr>
        <w:pStyle w:val="BodyText"/>
        <w:rPr/>
      </w:pPr>
      <w:r>
        <w:rPr/>
        <w:t>Under the “multiple observations per individual” approach, most outcome events are dropped for the complete case dataset. This happens because that dataset uses the exposure at all follow-up times, but most individuals that have expired did not have Zip codes recorded for that follow-up session. This way no DCI scores were available for most individuals, resulting in a sample of size 2 (Table 2). By applying the binary comparison between the two imputation approaches we found that both LOCF and LOCF+NOCB data frames are equal. A single outcome event was added to those datasets after the imputation is applied to the underlying SES data.</w:t>
      </w:r>
    </w:p>
    <w:p>
      <w:pPr>
        <w:pStyle w:val="BodyText"/>
        <w:rPr/>
      </w:pPr>
      <w:bookmarkStart w:id="10" w:name="missing-values-in-the-original-dataset"/>
      <w:r>
        <w:rPr/>
        <w:t>This leaves only two datasets to perform the sensitivity analysis on: one dataset under the “single observations per individual” (regardless of whether an imputation was applied) and one using the “multiple observations per individual” approaches (using any imputation). For simplicity, we will consider the complete case dataset for the first case and the LOCF for the second one.</w:t>
      </w:r>
      <w:bookmarkEnd w:id="10"/>
    </w:p>
    <w:p>
      <w:pPr>
        <w:pStyle w:val="Heading2"/>
        <w:keepLines/>
        <w:widowControl/>
        <w:numPr>
          <w:ilvl w:val="0"/>
          <w:numId w:val="0"/>
        </w:numPr>
        <w:suppressAutoHyphens w:val="true"/>
        <w:ind w:hanging="0" w:left="0"/>
        <w:jc w:val="left"/>
        <w:rPr/>
      </w:pPr>
      <w:r>
        <w:rPr/>
      </w:r>
      <w:r>
        <w:br w:type="page"/>
      </w:r>
    </w:p>
    <w:p>
      <w:pPr>
        <w:pStyle w:val="Heading2"/>
        <w:spacing w:before="0" w:after="0"/>
        <w:rPr/>
      </w:pPr>
      <w:bookmarkStart w:id="11" w:name="__RefHeading___Toc20705_3193018211"/>
      <w:bookmarkEnd w:id="11"/>
      <w:r>
        <w:rPr/>
        <w:t>Sensitivity of proportional hazards violations under different dataset regimens</w:t>
      </w:r>
    </w:p>
    <w:p>
      <w:pPr>
        <w:pStyle w:val="FirstParagraph"/>
        <w:rPr/>
      </w:pPr>
      <w:r>
        <w:rPr/>
        <w:t xml:space="preserve">Table 3 shows the results of the model specification from </w:t>
      </w:r>
      <w:r>
        <w:rPr>
          <w:b/>
          <w:bCs/>
        </w:rPr>
        <w:t>SAP-2023-016-BH-v02</w:t>
      </w:r>
      <w:r>
        <w:rPr/>
        <w:t xml:space="preserve"> on both datasets available from the previous section. The same model specification was tested with both datasets.</w:t>
      </w:r>
    </w:p>
    <w:p>
      <w:pPr>
        <w:pStyle w:val="TableCaption"/>
        <w:keepNext w:val="true"/>
        <w:spacing w:lineRule="exact" w:line="240" w:before="60" w:after="60"/>
        <w:ind w:hanging="0" w:left="60" w:right="60"/>
        <w:jc w:val="center"/>
        <w:rPr/>
      </w:pPr>
      <w:r>
        <w:rPr>
          <w:b/>
          <w:bCs/>
        </w:rPr>
        <w:t>Table 3</w:t>
      </w:r>
      <w:r>
        <w:rPr/>
        <w:t xml:space="preserve"> Model coefficients for both datasets.</w:t>
      </w:r>
    </w:p>
    <w:tbl>
      <w:tblPr>
        <w:tblW w:w="9637" w:type="dxa"/>
        <w:jc w:val="left"/>
        <w:tblInd w:w="0" w:type="dxa"/>
        <w:tblLayout w:type="fixed"/>
        <w:tblCellMar>
          <w:top w:w="0" w:type="dxa"/>
          <w:left w:w="0" w:type="dxa"/>
          <w:bottom w:w="0" w:type="dxa"/>
          <w:right w:w="0" w:type="dxa"/>
        </w:tblCellMar>
        <w:tblLook w:noHBand="0" w:noVBand="1" w:firstColumn="0" w:lastRow="0" w:lastColumn="0" w:firstRow="1"/>
      </w:tblPr>
      <w:tblGrid>
        <w:gridCol w:w="1656"/>
        <w:gridCol w:w="1331"/>
        <w:gridCol w:w="1330"/>
        <w:gridCol w:w="1327"/>
        <w:gridCol w:w="1333"/>
        <w:gridCol w:w="1330"/>
        <w:gridCol w:w="1329"/>
      </w:tblGrid>
      <w:tr>
        <w:trPr>
          <w:tblHeader w:val="true"/>
          <w:trHeight w:val="625" w:hRule="atLeast"/>
        </w:trPr>
        <w:tc>
          <w:tcPr>
            <w:tcW w:w="1656"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left"/>
              <w:rPr>
                <w:rFonts w:eastAsia="DejaVu Sans" w:cs="DejaVu Sans"/>
                <w:b w:val="false"/>
                <w:i w:val="false"/>
                <w:i w:val="false"/>
                <w:color w:val="000000"/>
                <w:u w:val="none"/>
              </w:rPr>
            </w:pPr>
            <w:r>
              <w:rPr>
                <w:rFonts w:eastAsia="DejaVu Sans" w:cs="DejaVu Sans"/>
                <w:b w:val="false"/>
                <w:i w:val="false"/>
                <w:color w:val="000000"/>
                <w:u w:val="none"/>
              </w:rPr>
            </w:r>
          </w:p>
        </w:tc>
        <w:tc>
          <w:tcPr>
            <w:tcW w:w="3988" w:type="dxa"/>
            <w:gridSpan w:val="3"/>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Single CC</w:t>
            </w:r>
            <w:r>
              <w:rPr>
                <w:rFonts w:eastAsia="DejaVu Sans" w:cs="DejaVu Sans"/>
                <w:b w:val="false"/>
                <w:i w:val="false"/>
                <w:color w:val="000000"/>
                <w:sz w:val="16"/>
                <w:szCs w:val="16"/>
                <w:u w:val="none"/>
              </w:rPr>
              <w:t>*</w:t>
            </w:r>
          </w:p>
        </w:tc>
        <w:tc>
          <w:tcPr>
            <w:tcW w:w="3992" w:type="dxa"/>
            <w:gridSpan w:val="3"/>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Multiple LOCF</w:t>
            </w:r>
          </w:p>
        </w:tc>
      </w:tr>
      <w:tr>
        <w:trPr>
          <w:tblHeader w:val="true"/>
          <w:trHeight w:val="624" w:hRule="atLeast"/>
        </w:trPr>
        <w:tc>
          <w:tcPr>
            <w:tcW w:w="1656"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left"/>
              <w:rPr>
                <w:rFonts w:ascii="Ubuntu" w:hAnsi="Ubuntu"/>
                <w:sz w:val="16"/>
                <w:szCs w:val="16"/>
              </w:rPr>
            </w:pPr>
            <w:r>
              <w:rPr>
                <w:rFonts w:eastAsia="DejaVu Sans" w:cs="DejaVu Sans"/>
                <w:b/>
                <w:i w:val="false"/>
                <w:color w:val="000000"/>
                <w:sz w:val="16"/>
                <w:szCs w:val="16"/>
                <w:u w:val="none"/>
              </w:rPr>
              <w:t>Characteristic</w:t>
            </w:r>
          </w:p>
        </w:tc>
        <w:tc>
          <w:tcPr>
            <w:tcW w:w="1331"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12</w:t>
            </w:r>
          </w:p>
        </w:tc>
        <w:tc>
          <w:tcPr>
            <w:tcW w:w="1330"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2</w:t>
            </w:r>
          </w:p>
        </w:tc>
        <w:tc>
          <w:tcPr>
            <w:tcW w:w="1327"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p-value</w:t>
            </w:r>
          </w:p>
        </w:tc>
        <w:tc>
          <w:tcPr>
            <w:tcW w:w="1333"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2</w:t>
            </w:r>
          </w:p>
        </w:tc>
        <w:tc>
          <w:tcPr>
            <w:tcW w:w="1330"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2</w:t>
            </w:r>
          </w:p>
        </w:tc>
        <w:tc>
          <w:tcPr>
            <w:tcW w:w="1329" w:type="dxa"/>
            <w:tcBorders>
              <w:top w:val="single" w:sz="8" w:space="0" w:color="000000"/>
              <w:bottom w:val="single" w:sz="8" w:space="0" w:color="000000"/>
            </w:tcBorders>
            <w:shd w:color="auto" w:fill="FFFFFF" w:val="clear"/>
            <w:vAlign w:val="cente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p-value</w:t>
            </w:r>
          </w:p>
        </w:tc>
      </w:tr>
      <w:tr>
        <w:trPr>
          <w:trHeight w:val="624" w:hRule="atLeast"/>
        </w:trPr>
        <w:tc>
          <w:tcPr>
            <w:tcW w:w="1656" w:type="dxa"/>
            <w:tcBorders>
              <w:top w:val="single" w:sz="8" w:space="0" w:color="000000"/>
            </w:tcBorders>
            <w:shd w:color="auto" w:fill="FFFFFF" w:val="clear"/>
          </w:tcPr>
          <w:p>
            <w:pPr>
              <w:pStyle w:val="Normal"/>
              <w:spacing w:lineRule="exact" w:line="240" w:before="0" w:after="0"/>
              <w:ind w:hanging="0" w:left="100" w:right="100"/>
              <w:jc w:val="left"/>
              <w:rPr>
                <w:rFonts w:ascii="Ubuntu" w:hAnsi="Ubuntu"/>
                <w:sz w:val="16"/>
                <w:szCs w:val="16"/>
              </w:rPr>
            </w:pPr>
            <w:r>
              <w:rPr>
                <w:rFonts w:eastAsia="DejaVu Sans" w:cs="DejaVu Sans"/>
                <w:b/>
                <w:i w:val="false"/>
                <w:color w:val="000000"/>
                <w:sz w:val="16"/>
                <w:szCs w:val="16"/>
                <w:u w:val="none"/>
              </w:rPr>
              <w:t>SES quintiles</w:t>
            </w:r>
          </w:p>
        </w:tc>
        <w:tc>
          <w:tcPr>
            <w:tcW w:w="1331"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30"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27"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33"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30"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29" w:type="dxa"/>
            <w:tcBorders>
              <w:top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r>
      <w:tr>
        <w:trPr>
          <w:trHeight w:val="617" w:hRule="atLeast"/>
        </w:trPr>
        <w:tc>
          <w:tcPr>
            <w:tcW w:w="1656" w:type="dxa"/>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Prosperous</w:t>
            </w:r>
          </w:p>
        </w:tc>
        <w:tc>
          <w:tcPr>
            <w:tcW w:w="1331"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w:t>
            </w:r>
          </w:p>
        </w:tc>
        <w:tc>
          <w:tcPr>
            <w:tcW w:w="1330"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w:t>
            </w:r>
          </w:p>
        </w:tc>
        <w:tc>
          <w:tcPr>
            <w:tcW w:w="1327" w:type="dxa"/>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c>
          <w:tcPr>
            <w:tcW w:w="1333"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w:t>
            </w:r>
          </w:p>
        </w:tc>
        <w:tc>
          <w:tcPr>
            <w:tcW w:w="1330"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w:t>
            </w:r>
          </w:p>
        </w:tc>
        <w:tc>
          <w:tcPr>
            <w:tcW w:w="1329" w:type="dxa"/>
            <w:tcBorders/>
            <w:shd w:color="auto" w:fill="FFFFFF" w:val="clear"/>
          </w:tcPr>
          <w:p>
            <w:pPr>
              <w:pStyle w:val="Normal"/>
              <w:spacing w:lineRule="exact" w:line="240" w:before="0" w:after="0"/>
              <w:ind w:hanging="0" w:left="100" w:right="100"/>
              <w:jc w:val="center"/>
              <w:rPr>
                <w:rFonts w:ascii="Ubuntu" w:hAnsi="Ubuntu"/>
                <w:sz w:val="16"/>
                <w:szCs w:val="16"/>
              </w:rPr>
            </w:pPr>
            <w:r>
              <w:rPr>
                <w:sz w:val="16"/>
                <w:szCs w:val="16"/>
              </w:rPr>
            </w:r>
          </w:p>
        </w:tc>
      </w:tr>
      <w:tr>
        <w:trPr>
          <w:trHeight w:val="581" w:hRule="atLeast"/>
        </w:trPr>
        <w:tc>
          <w:tcPr>
            <w:tcW w:w="1656" w:type="dxa"/>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Comfortable</w:t>
            </w:r>
          </w:p>
        </w:tc>
        <w:tc>
          <w:tcPr>
            <w:tcW w:w="1331"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0.98</w:t>
            </w:r>
          </w:p>
        </w:tc>
        <w:tc>
          <w:tcPr>
            <w:tcW w:w="1330"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0.78 to 1.25</w:t>
            </w:r>
          </w:p>
        </w:tc>
        <w:tc>
          <w:tcPr>
            <w:tcW w:w="1327"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0.893</w:t>
            </w:r>
          </w:p>
        </w:tc>
        <w:tc>
          <w:tcPr>
            <w:tcW w:w="1333"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1.06</w:t>
            </w:r>
          </w:p>
        </w:tc>
        <w:tc>
          <w:tcPr>
            <w:tcW w:w="1330"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0.83 to 1.35</w:t>
            </w:r>
          </w:p>
        </w:tc>
        <w:tc>
          <w:tcPr>
            <w:tcW w:w="1329"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0.623</w:t>
            </w:r>
          </w:p>
        </w:tc>
      </w:tr>
      <w:tr>
        <w:trPr>
          <w:trHeight w:val="581" w:hRule="atLeast"/>
        </w:trPr>
        <w:tc>
          <w:tcPr>
            <w:tcW w:w="1656" w:type="dxa"/>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Mid-Tier</w:t>
            </w:r>
          </w:p>
        </w:tc>
        <w:tc>
          <w:tcPr>
            <w:tcW w:w="1331"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1.09</w:t>
            </w:r>
          </w:p>
        </w:tc>
        <w:tc>
          <w:tcPr>
            <w:tcW w:w="1330"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0.84 to 1.41</w:t>
            </w:r>
          </w:p>
        </w:tc>
        <w:tc>
          <w:tcPr>
            <w:tcW w:w="1327"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0.515</w:t>
            </w:r>
          </w:p>
        </w:tc>
        <w:tc>
          <w:tcPr>
            <w:tcW w:w="1333"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1.18</w:t>
            </w:r>
          </w:p>
        </w:tc>
        <w:tc>
          <w:tcPr>
            <w:tcW w:w="1330"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0.91 to 1.52</w:t>
            </w:r>
          </w:p>
        </w:tc>
        <w:tc>
          <w:tcPr>
            <w:tcW w:w="1329"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0.207</w:t>
            </w:r>
          </w:p>
        </w:tc>
      </w:tr>
      <w:tr>
        <w:trPr>
          <w:trHeight w:val="581" w:hRule="atLeast"/>
        </w:trPr>
        <w:tc>
          <w:tcPr>
            <w:tcW w:w="1656" w:type="dxa"/>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At-Risk</w:t>
            </w:r>
          </w:p>
        </w:tc>
        <w:tc>
          <w:tcPr>
            <w:tcW w:w="1331"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1.12</w:t>
            </w:r>
          </w:p>
        </w:tc>
        <w:tc>
          <w:tcPr>
            <w:tcW w:w="1330"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0.87 to 1.43</w:t>
            </w:r>
          </w:p>
        </w:tc>
        <w:tc>
          <w:tcPr>
            <w:tcW w:w="1327"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0.386</w:t>
            </w:r>
          </w:p>
        </w:tc>
        <w:tc>
          <w:tcPr>
            <w:tcW w:w="1333"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1.11</w:t>
            </w:r>
          </w:p>
        </w:tc>
        <w:tc>
          <w:tcPr>
            <w:tcW w:w="1330"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0.87 to 1.43</w:t>
            </w:r>
          </w:p>
        </w:tc>
        <w:tc>
          <w:tcPr>
            <w:tcW w:w="1329" w:type="dxa"/>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0.400</w:t>
            </w:r>
          </w:p>
        </w:tc>
      </w:tr>
      <w:tr>
        <w:trPr>
          <w:trHeight w:val="581" w:hRule="atLeast"/>
        </w:trPr>
        <w:tc>
          <w:tcPr>
            <w:tcW w:w="1656" w:type="dxa"/>
            <w:tcBorders>
              <w:bottom w:val="single" w:sz="8" w:space="0" w:color="000000"/>
            </w:tcBorders>
            <w:shd w:color="auto" w:fill="FFFFFF" w:val="clear"/>
          </w:tcPr>
          <w:p>
            <w:pPr>
              <w:pStyle w:val="Normal"/>
              <w:spacing w:lineRule="exact" w:line="240" w:before="0" w:after="0"/>
              <w:ind w:hanging="0" w:left="300" w:right="100"/>
              <w:jc w:val="left"/>
              <w:rPr>
                <w:rFonts w:ascii="Ubuntu" w:hAnsi="Ubuntu"/>
                <w:sz w:val="16"/>
                <w:szCs w:val="16"/>
              </w:rPr>
            </w:pPr>
            <w:r>
              <w:rPr>
                <w:rFonts w:eastAsia="DejaVu Sans" w:cs="DejaVu Sans"/>
                <w:b w:val="false"/>
                <w:i w:val="false"/>
                <w:color w:val="000000"/>
                <w:sz w:val="16"/>
                <w:szCs w:val="16"/>
                <w:u w:val="none"/>
              </w:rPr>
              <w:t>Distressed</w:t>
            </w:r>
          </w:p>
        </w:tc>
        <w:tc>
          <w:tcPr>
            <w:tcW w:w="1331"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1.21</w:t>
            </w:r>
          </w:p>
        </w:tc>
        <w:tc>
          <w:tcPr>
            <w:tcW w:w="1330"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0.95 to 1.56</w:t>
            </w:r>
          </w:p>
        </w:tc>
        <w:tc>
          <w:tcPr>
            <w:tcW w:w="1327"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0.129</w:t>
            </w:r>
          </w:p>
        </w:tc>
        <w:tc>
          <w:tcPr>
            <w:tcW w:w="1333"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1.33</w:t>
            </w:r>
          </w:p>
        </w:tc>
        <w:tc>
          <w:tcPr>
            <w:tcW w:w="1330"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val="false"/>
                <w:i w:val="false"/>
                <w:color w:val="000000"/>
                <w:sz w:val="16"/>
                <w:szCs w:val="16"/>
                <w:u w:val="none"/>
              </w:rPr>
              <w:t>1.03 to 1.72</w:t>
            </w:r>
          </w:p>
        </w:tc>
        <w:tc>
          <w:tcPr>
            <w:tcW w:w="1329" w:type="dxa"/>
            <w:tcBorders>
              <w:bottom w:val="single" w:sz="8" w:space="0" w:color="000000"/>
            </w:tcBorders>
            <w:shd w:color="auto" w:fill="FFFFFF" w:val="clear"/>
          </w:tcPr>
          <w:p>
            <w:pPr>
              <w:pStyle w:val="Normal"/>
              <w:spacing w:lineRule="exact" w:line="240" w:before="0" w:after="0"/>
              <w:ind w:hanging="0" w:left="100" w:right="100"/>
              <w:jc w:val="center"/>
              <w:rPr>
                <w:rFonts w:ascii="Ubuntu" w:hAnsi="Ubuntu"/>
                <w:sz w:val="16"/>
                <w:szCs w:val="16"/>
              </w:rPr>
            </w:pPr>
            <w:r>
              <w:rPr>
                <w:rFonts w:eastAsia="DejaVu Sans" w:cs="DejaVu Sans"/>
                <w:b/>
                <w:i w:val="false"/>
                <w:color w:val="000000"/>
                <w:sz w:val="16"/>
                <w:szCs w:val="16"/>
                <w:u w:val="none"/>
              </w:rPr>
              <w:t>0.027</w:t>
            </w:r>
          </w:p>
        </w:tc>
      </w:tr>
      <w:tr>
        <w:trPr>
          <w:trHeight w:val="360" w:hRule="atLeast"/>
        </w:trPr>
        <w:tc>
          <w:tcPr>
            <w:tcW w:w="9636" w:type="dxa"/>
            <w:gridSpan w:val="7"/>
            <w:tcBorders>
              <w:top w:val="single" w:sz="8" w:space="0" w:color="000000"/>
            </w:tcBorders>
            <w:shd w:color="auto" w:fill="FFFFFF" w:val="clear"/>
            <w:vAlign w:val="center"/>
          </w:tcPr>
          <w:p>
            <w:pPr>
              <w:pStyle w:val="Normal"/>
              <w:spacing w:lineRule="exact" w:line="240" w:before="0" w:after="0"/>
              <w:ind w:hanging="0" w:left="100" w:right="100"/>
              <w:jc w:val="left"/>
              <w:rPr>
                <w:rFonts w:ascii="Ubuntu" w:hAnsi="Ubuntu"/>
                <w:sz w:val="16"/>
                <w:szCs w:val="16"/>
              </w:rPr>
            </w:pPr>
            <w:r>
              <w:rPr>
                <w:rFonts w:eastAsia="DejaVu Sans" w:cs="DejaVu Sans"/>
                <w:b w:val="false"/>
                <w:i w:val="false"/>
                <w:color w:val="000000"/>
                <w:sz w:val="16"/>
                <w:szCs w:val="16"/>
                <w:u w:val="none"/>
                <w:vertAlign w:val="superscript"/>
              </w:rPr>
              <w:t>1</w:t>
            </w:r>
            <w:r>
              <w:rPr>
                <w:rFonts w:eastAsia="DejaVu Sans" w:cs="DejaVu Sans"/>
                <w:b w:val="false"/>
                <w:i w:val="false"/>
                <w:color w:val="000000"/>
                <w:sz w:val="16"/>
                <w:szCs w:val="16"/>
                <w:u w:val="none"/>
              </w:rPr>
              <w:t>\* FIM scores violate PH assumption</w:t>
            </w:r>
          </w:p>
        </w:tc>
      </w:tr>
      <w:tr>
        <w:trPr>
          <w:trHeight w:val="360" w:hRule="atLeast"/>
        </w:trPr>
        <w:tc>
          <w:tcPr>
            <w:tcW w:w="9636" w:type="dxa"/>
            <w:gridSpan w:val="7"/>
            <w:tcBorders/>
            <w:shd w:color="auto" w:fill="FFFFFF" w:val="clear"/>
            <w:vAlign w:val="center"/>
          </w:tcPr>
          <w:p>
            <w:pPr>
              <w:pStyle w:val="Normal"/>
              <w:spacing w:lineRule="exact" w:line="240" w:before="0" w:after="0"/>
              <w:ind w:hanging="0" w:left="100" w:right="100"/>
              <w:jc w:val="left"/>
              <w:rPr>
                <w:rFonts w:ascii="Ubuntu" w:hAnsi="Ubuntu"/>
                <w:sz w:val="16"/>
                <w:szCs w:val="16"/>
              </w:rPr>
            </w:pPr>
            <w:r>
              <w:rPr>
                <w:rFonts w:eastAsia="DejaVu Sans" w:cs="DejaVu Sans"/>
                <w:b w:val="false"/>
                <w:i w:val="false"/>
                <w:color w:val="000000"/>
                <w:sz w:val="16"/>
                <w:szCs w:val="16"/>
                <w:u w:val="none"/>
                <w:vertAlign w:val="superscript"/>
              </w:rPr>
              <w:t>2</w:t>
            </w:r>
            <w:r>
              <w:rPr>
                <w:rFonts w:eastAsia="DejaVu Sans" w:cs="DejaVu Sans"/>
                <w:b w:val="false"/>
                <w:i w:val="false"/>
                <w:color w:val="000000"/>
                <w:sz w:val="16"/>
                <w:szCs w:val="16"/>
                <w:u w:val="none"/>
              </w:rPr>
              <w:t>CC = complete-cases (not imputed), CI = Confidence Interval, LOCF = last observation carried forward</w:t>
            </w:r>
          </w:p>
        </w:tc>
      </w:tr>
    </w:tbl>
    <w:p>
      <w:pPr>
        <w:pStyle w:val="BodyText"/>
        <w:rPr/>
      </w:pPr>
      <w:r>
        <w:rPr/>
        <w:t xml:space="preserve">Using the dataset that provides a single observation per individual the residual analysis of </w:t>
      </w:r>
      <w:r>
        <w:rPr>
          <w:b/>
          <w:bCs/>
        </w:rPr>
        <w:t>SAR-2023-016-BH</w:t>
      </w:r>
      <w:r>
        <w:rPr/>
        <w:t xml:space="preserve"> is reproduced, where the FIM motor score is dropped due to a violation of the proportional hazards assumption. The dataset that provides multiple observations per individual imputed with a LOCF approach does not violate that assumption, so the term can be safely kept for the analysis. Additionally, when the SES exposure is the time-varying it is associated with mortality under the final model specification, whereas in the smaller dataset this was only true without including any of the FIM scores. Table 4 shows the p-values of the Schoenfeld test for the model tested on both datasets.</w:t>
      </w:r>
    </w:p>
    <w:p>
      <w:pPr>
        <w:pStyle w:val="Table"/>
        <w:keepNext w:val="true"/>
        <w:rPr/>
      </w:pPr>
      <w:r>
        <w:rPr>
          <w:b/>
          <w:bCs/>
        </w:rPr>
        <w:t>Table 4</w:t>
      </w:r>
      <w:r>
        <w:rPr/>
        <w:t xml:space="preserve"> Schoenfeld test for both datasets.</w:t>
      </w:r>
    </w:p>
    <w:tbl>
      <w:tblPr>
        <w:tblW w:w="5000" w:type="pct"/>
        <w:jc w:val="center"/>
        <w:tblInd w:w="0" w:type="dxa"/>
        <w:tblLayout w:type="fixed"/>
        <w:tblCellMar>
          <w:top w:w="55" w:type="dxa"/>
          <w:left w:w="55" w:type="dxa"/>
          <w:bottom w:w="55" w:type="dxa"/>
          <w:right w:w="55" w:type="dxa"/>
        </w:tblCellMar>
        <w:tblLook w:noHBand="0" w:noVBand="0" w:firstColumn="0" w:lastRow="0" w:lastColumn="0" w:firstRow="0"/>
      </w:tblPr>
      <w:tblGrid>
        <w:gridCol w:w="3212"/>
        <w:gridCol w:w="3213"/>
        <w:gridCol w:w="3213"/>
      </w:tblGrid>
      <w:tr>
        <w:trPr>
          <w:cantSplit w:val="true"/>
        </w:trPr>
        <w:tc>
          <w:tcPr>
            <w:tcW w:w="3212" w:type="dxa"/>
            <w:tcBorders>
              <w:top w:val="single" w:sz="4" w:space="0" w:color="000000"/>
              <w:left w:val="single" w:sz="4" w:space="0" w:color="000000"/>
              <w:bottom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term</w:t>
            </w:r>
          </w:p>
        </w:tc>
        <w:tc>
          <w:tcPr>
            <w:tcW w:w="3213" w:type="dxa"/>
            <w:tcBorders>
              <w:top w:val="single" w:sz="4" w:space="0" w:color="000000"/>
              <w:left w:val="single" w:sz="4" w:space="0" w:color="000000"/>
              <w:bottom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cc</w:t>
            </w:r>
          </w:p>
        </w:tc>
        <w:tc>
          <w:tcPr>
            <w:tcW w:w="3213"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locf</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exposure</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0.5</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0.5</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SexF</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r>
      <w:tr>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Race</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0.3</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AGE</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0.8</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0.8</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EDUCATION</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&gt;0.9</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0.7</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EMPLOYMENT</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0.3</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RehabPay1</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0.6</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0.7</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SCI</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0.9</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DAYStoREHABdc</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0.055</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PROBLEMUse</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0.8</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ResDis</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0.6</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RURALdc</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0.3</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FIMMOTD4</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0.047</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0.055</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FIMCOGD4</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0.13</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GLOBAL</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0.3</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bookmarkStart w:id="12" w:name="X8c712a444b27f94b2af4155fedf19a160da12d3"/>
            <w:bookmarkStart w:id="13" w:name="results"/>
            <w:bookmarkEnd w:id="12"/>
            <w:bookmarkEnd w:id="13"/>
          </w:p>
        </w:tc>
      </w:tr>
    </w:tbl>
    <w:p>
      <w:pPr>
        <w:pStyle w:val="Heading1"/>
        <w:rPr/>
      </w:pPr>
      <w:bookmarkStart w:id="14" w:name="__RefHeading___Toc20707_3193018211"/>
      <w:bookmarkEnd w:id="14"/>
      <w:r>
        <w:rPr/>
        <w:t>Observations and Limitations</w:t>
      </w:r>
    </w:p>
    <w:p>
      <w:pPr>
        <w:pStyle w:val="FirstParagraph"/>
        <w:rPr/>
      </w:pPr>
      <w:r>
        <w:rPr>
          <w:b/>
          <w:bCs/>
        </w:rPr>
        <w:t>Recommended reporting guideline</w:t>
      </w:r>
    </w:p>
    <w:p>
      <w:pPr>
        <w:pStyle w:val="BodyText"/>
        <w:rPr/>
      </w:pPr>
      <w:r>
        <w:rPr/>
        <w:t>The adoption of the EQUATOR network (</w:t>
      </w:r>
      <w:hyperlink r:id="rId2">
        <w:r>
          <w:rPr>
            <w:rStyle w:val="Hyperlink"/>
          </w:rPr>
          <w:t>http://www.equator-network.org/</w:t>
        </w:r>
      </w:hyperlink>
      <w:r>
        <w:rPr/>
        <w:t>) reporting guidelines have seen increasing adoption by scientific journals. All observational studies are recommended to be reported following the STROBE guideline (von Elm et al, 2014).</w:t>
      </w:r>
    </w:p>
    <w:p>
      <w:pPr>
        <w:pStyle w:val="Heading1"/>
        <w:keepLines/>
        <w:widowControl/>
        <w:numPr>
          <w:ilvl w:val="0"/>
          <w:numId w:val="0"/>
        </w:numPr>
        <w:suppressAutoHyphens w:val="true"/>
        <w:ind w:hanging="0" w:left="0"/>
        <w:jc w:val="left"/>
        <w:rPr/>
      </w:pPr>
      <w:r>
        <w:rPr/>
      </w:r>
      <w:r>
        <w:br w:type="page"/>
      </w:r>
    </w:p>
    <w:p>
      <w:pPr>
        <w:pStyle w:val="Heading1"/>
        <w:spacing w:before="0" w:after="0"/>
        <w:rPr/>
      </w:pPr>
      <w:bookmarkStart w:id="15" w:name="__RefHeading___Toc20709_3193018211"/>
      <w:bookmarkEnd w:id="15"/>
      <w:r>
        <w:rPr/>
        <w:t>Conclusions</w:t>
      </w:r>
    </w:p>
    <w:p>
      <w:pPr>
        <w:pStyle w:val="FirstParagraph"/>
        <w:rPr/>
      </w:pPr>
      <w:r>
        <w:rPr/>
        <w:t>Simple imputation on zip codes do not affect the range of observations available for modeling in this dataset when using a single observation per individual. The model specification tested is robust to imputation approaches on this dataset and the resulting exposure variable is unchanged.</w:t>
      </w:r>
    </w:p>
    <w:p>
      <w:pPr>
        <w:pStyle w:val="BodyText"/>
        <w:rPr/>
      </w:pPr>
      <w:r>
        <w:rPr/>
        <w:t>When using multiple observations per individual, there is a minute increment in the number of events, but there is different imputation approaches do not yield different datasets. The model specification tested is robust to imputation approaches on this dataset and the resulting exposure variable is unchanged.</w:t>
      </w:r>
    </w:p>
    <w:p>
      <w:pPr>
        <w:pStyle w:val="BodyText"/>
        <w:rPr/>
      </w:pPr>
      <w:bookmarkStart w:id="16" w:name="conclusions"/>
      <w:r>
        <w:rPr/>
        <w:t>When using multiple observations per individual in the model specification evaluated, the time-varying exposure allows for the inclusion of terms that violated the proportional hazards assumption in the constant exposure. The model specification tested is sensitive to using a time-varying exposure and all terms can be used for analysis.</w:t>
      </w:r>
      <w:bookmarkEnd w:id="16"/>
    </w:p>
    <w:p>
      <w:pPr>
        <w:pStyle w:val="Heading1"/>
        <w:rPr/>
      </w:pPr>
      <w:bookmarkStart w:id="17" w:name="__RefHeading___Toc20711_3193018211"/>
      <w:bookmarkStart w:id="18" w:name="references"/>
      <w:bookmarkEnd w:id="17"/>
      <w:r>
        <w:rPr/>
        <w:t>References</w:t>
      </w:r>
    </w:p>
    <w:p>
      <w:pPr>
        <w:pStyle w:val="Compact"/>
        <w:numPr>
          <w:ilvl w:val="0"/>
          <w:numId w:val="11"/>
        </w:numPr>
        <w:rPr/>
      </w:pPr>
      <w:r>
        <w:rPr>
          <w:b/>
          <w:bCs/>
        </w:rPr>
        <w:t>SAP-2023-017-BH-v02</w:t>
      </w:r>
      <w:r>
        <w:rPr/>
        <w:t xml:space="preserve"> – Analytical Plan for Sensitivity of mortality rates to the imputation of missing socioeconomic data: cohort study</w:t>
      </w:r>
    </w:p>
    <w:p>
      <w:pPr>
        <w:pStyle w:val="Compact"/>
        <w:numPr>
          <w:ilvl w:val="0"/>
          <w:numId w:val="12"/>
        </w:numPr>
        <w:rPr/>
      </w:pPr>
      <w:r>
        <w:rPr>
          <w:b/>
          <w:bCs/>
        </w:rPr>
        <w:t>SAP-2023-016-BH-v02</w:t>
      </w:r>
      <w:r>
        <w:rPr/>
        <w:t xml:space="preserve"> – Analytical Plan for Time-adjusted effect of socioeconomic status in mortality rates after brain injury: cohort study</w:t>
      </w:r>
    </w:p>
    <w:p>
      <w:pPr>
        <w:pStyle w:val="Compact"/>
        <w:numPr>
          <w:ilvl w:val="0"/>
          <w:numId w:val="13"/>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3">
        <w:r>
          <w:rPr>
            <w:rStyle w:val="Hyperlink"/>
          </w:rPr>
          <w:t>https://doi.org/10.1016/j.ijsu.2014.07.013</w:t>
        </w:r>
      </w:hyperlink>
      <w:r>
        <w:rPr/>
        <w:t>).</w:t>
      </w:r>
      <w:bookmarkEnd w:id="18"/>
    </w:p>
    <w:p>
      <w:pPr>
        <w:pStyle w:val="Heading1"/>
        <w:keepLines/>
        <w:widowControl/>
        <w:numPr>
          <w:ilvl w:val="0"/>
          <w:numId w:val="0"/>
        </w:numPr>
        <w:suppressAutoHyphens w:val="true"/>
        <w:ind w:hanging="0" w:left="0"/>
        <w:jc w:val="left"/>
        <w:rPr/>
      </w:pPr>
      <w:r>
        <w:rPr/>
      </w:r>
      <w:r>
        <w:br w:type="page"/>
      </w:r>
    </w:p>
    <w:p>
      <w:pPr>
        <w:pStyle w:val="Heading1"/>
        <w:spacing w:before="0" w:after="0"/>
        <w:rPr/>
      </w:pPr>
      <w:bookmarkStart w:id="19" w:name="__RefHeading___Toc20713_3193018211"/>
      <w:bookmarkEnd w:id="19"/>
      <w:r>
        <w:rPr/>
        <w:t>Appendix</w:t>
      </w:r>
    </w:p>
    <w:p>
      <w:pPr>
        <w:pStyle w:val="Heading2"/>
        <w:rPr/>
      </w:pPr>
      <w:bookmarkStart w:id="20" w:name="__RefHeading___Toc20715_3193018211"/>
      <w:bookmarkEnd w:id="20"/>
      <w:r>
        <w:rPr/>
        <w:t>Exploratory data analysis</w:t>
      </w:r>
    </w:p>
    <w:p>
      <w:pPr>
        <w:pStyle w:val="FirstParagraph"/>
        <w:rPr/>
      </w:pPr>
      <w:bookmarkStart w:id="21" w:name="exploratory-data-analysis"/>
      <w:r>
        <w:rPr/>
        <w:t>N/A</w:t>
      </w:r>
      <w:bookmarkEnd w:id="21"/>
    </w:p>
    <w:p>
      <w:pPr>
        <w:pStyle w:val="Heading2"/>
        <w:rPr/>
      </w:pPr>
      <w:bookmarkStart w:id="22" w:name="__RefHeading___Toc20717_3193018211"/>
      <w:bookmarkEnd w:id="22"/>
      <w:r>
        <w:rPr/>
        <w:t>Availability</w:t>
      </w:r>
    </w:p>
    <w:p>
      <w:pPr>
        <w:pStyle w:val="FirstParagraph"/>
        <w:rPr/>
      </w:pPr>
      <w:r>
        <w:rPr/>
        <w:t>All documents from this consultation were included in the consultant’s Portfolio.</w:t>
      </w:r>
    </w:p>
    <w:p>
      <w:pPr>
        <w:pStyle w:val="BodyText"/>
        <w:rPr/>
      </w:pPr>
      <w:r>
        <w:rPr/>
        <w:t>The portfolio is available at:</w:t>
      </w:r>
    </w:p>
    <w:p>
      <w:pPr>
        <w:pStyle w:val="BodyText"/>
        <w:rPr/>
      </w:pPr>
      <w:hyperlink r:id="rId4">
        <w:bookmarkStart w:id="23" w:name="availability"/>
        <w:r>
          <w:rPr>
            <w:rStyle w:val="Hyperlink"/>
          </w:rPr>
          <w:t>https://philsf-biostat.github.io/SAR-2023-017-BH/</w:t>
        </w:r>
      </w:hyperlink>
      <w:bookmarkEnd w:id="23"/>
    </w:p>
    <w:p>
      <w:pPr>
        <w:pStyle w:val="Heading2"/>
        <w:rPr/>
      </w:pPr>
      <w:bookmarkStart w:id="24" w:name="__RefHeading___Toc20719_3193018211"/>
      <w:bookmarkEnd w:id="24"/>
      <w:r>
        <w:rPr/>
        <w:t>Associated analyses</w:t>
      </w:r>
    </w:p>
    <w:p>
      <w:pPr>
        <w:pStyle w:val="FirstParagraph"/>
        <w:rPr/>
      </w:pPr>
      <w:r>
        <w:rPr/>
        <w:t>This analysis is part of a larger project and is supported by other analyses, linked below.</w:t>
      </w:r>
    </w:p>
    <w:p>
      <w:pPr>
        <w:pStyle w:val="BodyText"/>
        <w:rPr/>
      </w:pPr>
      <w:r>
        <w:rPr>
          <w:b/>
          <w:bCs/>
        </w:rPr>
        <w:t>Effect of socioeconomic status in mortality rates after brain injury: cohort study</w:t>
      </w:r>
    </w:p>
    <w:p>
      <w:pPr>
        <w:pStyle w:val="BodyText"/>
        <w:rPr/>
      </w:pPr>
      <w:hyperlink r:id="rId5">
        <w:r>
          <w:rPr>
            <w:rStyle w:val="Hyperlink"/>
          </w:rPr>
          <w:t>https://philsf-biostat.github.io/SAR-2023-004-BH/</w:t>
        </w:r>
      </w:hyperlink>
    </w:p>
    <w:p>
      <w:pPr>
        <w:pStyle w:val="BodyText"/>
        <w:rPr/>
      </w:pPr>
      <w:r>
        <w:rPr>
          <w:b/>
          <w:bCs/>
        </w:rPr>
        <w:t>Time-adjusted effect of socioeconomic status in mortality rates after brain injury: cohort study</w:t>
      </w:r>
    </w:p>
    <w:p>
      <w:pPr>
        <w:pStyle w:val="BodyText"/>
        <w:rPr/>
      </w:pPr>
      <w:hyperlink r:id="rId6">
        <w:bookmarkStart w:id="25" w:name="associated-analyses"/>
        <w:r>
          <w:rPr>
            <w:rStyle w:val="Hyperlink"/>
          </w:rPr>
          <w:t>https://philsf-biostat.github.io/SAR-2023-016-BH/</w:t>
        </w:r>
      </w:hyperlink>
      <w:bookmarkEnd w:id="25"/>
    </w:p>
    <w:p>
      <w:pPr>
        <w:pStyle w:val="Heading2"/>
        <w:rPr/>
      </w:pPr>
      <w:bookmarkStart w:id="26" w:name="__RefHeading___Toc20721_3193018211"/>
      <w:bookmarkEnd w:id="26"/>
      <w:r>
        <w:rPr/>
        <w:t>Analytical dataset</w:t>
      </w:r>
    </w:p>
    <w:p>
      <w:pPr>
        <w:pStyle w:val="FirstParagraph"/>
        <w:rPr/>
      </w:pPr>
      <w:r>
        <w:rPr/>
        <w:t>Table A1 shows the structure of the analytical dataset.</w:t>
      </w:r>
    </w:p>
    <w:p>
      <w:pPr>
        <w:pStyle w:val="TableCaption"/>
        <w:rPr/>
      </w:pPr>
      <w:r>
        <w:rPr>
          <w:b/>
          <w:bCs/>
        </w:rPr>
        <w:t>Table A1</w:t>
      </w:r>
      <w:r>
        <w:rPr/>
        <w:t xml:space="preserve"> Analytical dataset structure</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51"/>
        <w:gridCol w:w="610"/>
        <w:gridCol w:w="552"/>
        <w:gridCol w:w="370"/>
        <w:gridCol w:w="371"/>
        <w:gridCol w:w="372"/>
        <w:gridCol w:w="311"/>
        <w:gridCol w:w="310"/>
        <w:gridCol w:w="731"/>
        <w:gridCol w:w="481"/>
        <w:gridCol w:w="423"/>
        <w:gridCol w:w="423"/>
        <w:gridCol w:w="423"/>
        <w:gridCol w:w="311"/>
        <w:gridCol w:w="423"/>
        <w:gridCol w:w="423"/>
        <w:gridCol w:w="423"/>
        <w:gridCol w:w="423"/>
        <w:gridCol w:w="423"/>
        <w:gridCol w:w="423"/>
        <w:gridCol w:w="423"/>
        <w:gridCol w:w="423"/>
        <w:gridCol w:w="421"/>
      </w:tblGrid>
      <w:tr>
        <w:trPr/>
        <w:tc>
          <w:tcPr>
            <w:tcW w:w="25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id</w:t>
            </w:r>
          </w:p>
        </w:tc>
        <w:tc>
          <w:tcPr>
            <w:tcW w:w="610"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exposure</w:t>
            </w:r>
          </w:p>
        </w:tc>
        <w:tc>
          <w:tcPr>
            <w:tcW w:w="552"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outcome</w:t>
            </w:r>
          </w:p>
        </w:tc>
        <w:tc>
          <w:tcPr>
            <w:tcW w:w="370"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Time</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SexF</w:t>
            </w:r>
          </w:p>
        </w:tc>
        <w:tc>
          <w:tcPr>
            <w:tcW w:w="372"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Race</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Mar</w:t>
            </w:r>
          </w:p>
        </w:tc>
        <w:tc>
          <w:tcPr>
            <w:tcW w:w="310"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AGE</w:t>
            </w:r>
          </w:p>
        </w:tc>
        <w:tc>
          <w:tcPr>
            <w:tcW w:w="73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PROBLEMUse</w:t>
            </w:r>
          </w:p>
        </w:tc>
        <w:tc>
          <w:tcPr>
            <w:tcW w:w="48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EDUCATION</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EMPLOYMENT</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RURALdc</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PriorSeiz</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SCI</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Cause</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RehabPay1</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ResDis</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DAYStoREHABdc</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FollowUpPeriod</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FIMMOTD4</w:t>
            </w:r>
          </w:p>
        </w:tc>
        <w:tc>
          <w:tcPr>
            <w:tcW w:w="42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FIMCOGD4</w:t>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1</w:t>
            </w:r>
          </w:p>
        </w:tc>
        <w:tc>
          <w:tcPr>
            <w:tcW w:w="6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1"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2</w:t>
            </w:r>
          </w:p>
        </w:tc>
        <w:tc>
          <w:tcPr>
            <w:tcW w:w="6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1"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3</w:t>
            </w:r>
          </w:p>
        </w:tc>
        <w:tc>
          <w:tcPr>
            <w:tcW w:w="6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1"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w:t>
            </w:r>
          </w:p>
        </w:tc>
        <w:tc>
          <w:tcPr>
            <w:tcW w:w="6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1"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N</w:t>
            </w:r>
          </w:p>
        </w:tc>
        <w:tc>
          <w:tcPr>
            <w:tcW w:w="6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1"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bl>
    <w:p>
      <w:pPr>
        <w:pStyle w:val="BodyText"/>
        <w:spacing w:before="180" w:after="180"/>
        <w:rPr/>
      </w:pPr>
      <w:bookmarkStart w:id="27" w:name="analytical-dataset"/>
      <w:bookmarkStart w:id="28" w:name="appendix"/>
      <w:r>
        <w:rPr/>
        <w:t>Due to confidentiality the data-set used in this analysis cannot be shared online in the public version of this report.</w:t>
      </w:r>
      <w:bookmarkEnd w:id="27"/>
      <w:bookmarkEnd w:id="28"/>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Calibri">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hanging="0" w:left="0" w:right="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hanging="0" w:left="0" w:right="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2024</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4"/>
  </w:num>
  <w:num w:numId="10">
    <w:abstractNumId w:val="4"/>
  </w:num>
  <w:num w:numId="11">
    <w:abstractNumId w:val="2"/>
  </w:num>
  <w:num w:numId="12">
    <w:abstractNumId w:val="2"/>
  </w:num>
  <w:num w:numId="13">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BodyText"/>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BodyText"/>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BodyText"/>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Ubuntu" w:hAnsi="Ubuntu" w:eastAsia="Noto Sans CJK SC" w:cs="Lohit Devanagari"/>
      <w:sz w:val="28"/>
      <w:szCs w:val="28"/>
    </w:rPr>
  </w:style>
  <w:style w:type="paragraph" w:styleId="BodyText">
    <w:name w:val="Body Text"/>
    <w:basedOn w:val="Normal"/>
    <w:link w:val="BodyTextChar"/>
    <w:qFormat/>
    <w:pPr>
      <w:spacing w:before="180" w:after="180"/>
    </w:pPr>
    <w:rPr>
      <w:rFonts w:ascii="Ubuntu" w:hAnsi="Ubuntu"/>
    </w:rPr>
  </w:style>
  <w:style w:type="paragraph" w:styleId="List">
    <w:name w:val="List"/>
    <w:basedOn w:val="BodyText"/>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0" w:after="0"/>
    </w:pPr>
    <w:rPr>
      <w:rFonts w:ascii="Ubuntu" w:hAnsi="Ubuntu"/>
    </w:rPr>
  </w:style>
  <w:style w:type="paragraph" w:styleId="Title">
    <w:name w:val="Title"/>
    <w:basedOn w:val="Normal"/>
    <w:next w:val="BodyText"/>
    <w:qFormat/>
    <w:pPr>
      <w:keepNext w:val="true"/>
      <w:keepLines/>
      <w:spacing w:before="480" w:after="240"/>
      <w:jc w:val="center"/>
    </w:pPr>
    <w:rPr>
      <w:rFonts w:ascii="Ubuntu" w:hAnsi="Ubuntu" w:eastAsia="" w:cs="" w:cstheme="majorBidi" w:eastAsiaTheme="majorEastAsia"/>
      <w:b/>
      <w:bCs/>
      <w:color w:val="000000"/>
      <w:sz w:val="32"/>
      <w:szCs w:val="36"/>
    </w:rPr>
  </w:style>
  <w:style w:type="paragraph" w:styleId="Subtitle">
    <w:name w:val="Subtitle"/>
    <w:basedOn w:val="Title"/>
    <w:next w:val="BodyText"/>
    <w:qFormat/>
    <w:pPr>
      <w:keepNext w:val="true"/>
      <w:keepLines/>
      <w:spacing w:before="240" w:after="240"/>
      <w:jc w:val="center"/>
    </w:pPr>
    <w:rPr>
      <w:rFonts w:ascii="Ubuntu" w:hAnsi="Ubuntu"/>
      <w:color w:val="000000"/>
      <w:sz w:val="2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hanging="0" w:left="0"/>
      <w:jc w:val="center"/>
    </w:pPr>
    <w:rPr>
      <w:rFonts w:ascii="Ubuntu" w:hAnsi="Ubuntu"/>
      <w:b/>
      <w:bCs/>
      <w:caps/>
      <w:sz w:val="32"/>
      <w:szCs w:val="32"/>
    </w:rPr>
  </w:style>
  <w:style w:type="paragraph" w:styleId="TOCHeading">
    <w:name w:val="TOC Heading"/>
    <w:basedOn w:val="Heading1"/>
    <w:next w:val="BodyText"/>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hanging="0" w:left="0"/>
    </w:pPr>
    <w:rPr>
      <w:b/>
      <w:bCs/>
      <w:sz w:val="32"/>
      <w:szCs w:val="32"/>
    </w:rPr>
  </w:style>
  <w:style w:type="paragraph" w:styleId="TOC1">
    <w:name w:val="TOC 1"/>
    <w:basedOn w:val="Ndice"/>
    <w:pPr>
      <w:tabs>
        <w:tab w:val="clear" w:pos="720"/>
        <w:tab w:val="right" w:pos="9360" w:leader="dot"/>
      </w:tabs>
      <w:spacing w:before="0" w:after="0"/>
      <w:ind w:hanging="0" w:left="0"/>
    </w:pPr>
    <w:rPr>
      <w:rFonts w:ascii="Ubuntu" w:hAnsi="Ubuntu"/>
      <w:caps/>
      <w:sz w:val="20"/>
    </w:rPr>
  </w:style>
  <w:style w:type="paragraph" w:styleId="TOC2">
    <w:name w:val="TOC 2"/>
    <w:basedOn w:val="Ndice"/>
    <w:pPr>
      <w:tabs>
        <w:tab w:val="clear" w:pos="720"/>
        <w:tab w:val="right" w:pos="9077" w:leader="dot"/>
      </w:tabs>
      <w:spacing w:before="0" w:after="0"/>
      <w:ind w:hanging="0" w:left="283"/>
    </w:pPr>
    <w:rPr>
      <w:rFonts w:ascii="Ubuntu" w:hAnsi="Ubuntu"/>
      <w:sz w:val="20"/>
    </w:rPr>
  </w:style>
  <w:style w:type="paragraph" w:styleId="TOC3">
    <w:name w:val="TOC 3"/>
    <w:basedOn w:val="Ndice"/>
    <w:pPr>
      <w:tabs>
        <w:tab w:val="clear" w:pos="720"/>
        <w:tab w:val="right" w:pos="8794" w:leader="dot"/>
      </w:tabs>
      <w:spacing w:before="0" w:after="0"/>
      <w:ind w:hanging="0" w:left="566"/>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hanging="0" w:left="2547"/>
    </w:pPr>
    <w:rPr>
      <w:rFonts w:ascii="Ubuntu" w:hAnsi="Ubuntu"/>
      <w:sz w:val="20"/>
    </w:rPr>
  </w:style>
  <w:style w:type="paragraph" w:styleId="TOC9">
    <w:name w:val="TOC 9"/>
    <w:basedOn w:val="Ndice"/>
    <w:pPr>
      <w:tabs>
        <w:tab w:val="clear" w:pos="720"/>
        <w:tab w:val="right" w:pos="7096" w:leader="dot"/>
      </w:tabs>
      <w:ind w:hanging="0" w:left="2264"/>
    </w:pPr>
    <w:rPr>
      <w:rFonts w:ascii="Ubuntu" w:hAnsi="Ubuntu"/>
      <w:sz w:val="20"/>
    </w:rPr>
  </w:style>
  <w:style w:type="paragraph" w:styleId="TOC8">
    <w:name w:val="TOC 8"/>
    <w:basedOn w:val="Ndice"/>
    <w:pPr>
      <w:tabs>
        <w:tab w:val="clear" w:pos="720"/>
        <w:tab w:val="right" w:pos="7379" w:leader="dot"/>
      </w:tabs>
      <w:ind w:hanging="0" w:left="1981"/>
    </w:pPr>
    <w:rPr>
      <w:rFonts w:ascii="Ubuntu" w:hAnsi="Ubuntu"/>
      <w:sz w:val="20"/>
    </w:rPr>
  </w:style>
  <w:style w:type="paragraph" w:styleId="TOC7">
    <w:name w:val="TOC 7"/>
    <w:basedOn w:val="Ndice"/>
    <w:pPr>
      <w:tabs>
        <w:tab w:val="clear" w:pos="720"/>
        <w:tab w:val="right" w:pos="7662" w:leader="dot"/>
      </w:tabs>
      <w:ind w:hanging="0" w:left="1698"/>
    </w:pPr>
    <w:rPr>
      <w:rFonts w:ascii="Ubuntu" w:hAnsi="Ubuntu"/>
      <w:sz w:val="20"/>
    </w:rPr>
  </w:style>
  <w:style w:type="paragraph" w:styleId="TOC6">
    <w:name w:val="TOC 6"/>
    <w:basedOn w:val="Ndice"/>
    <w:pPr>
      <w:tabs>
        <w:tab w:val="clear" w:pos="720"/>
        <w:tab w:val="right" w:pos="7945" w:leader="dot"/>
      </w:tabs>
      <w:ind w:hanging="0" w:left="1415"/>
    </w:pPr>
    <w:rPr>
      <w:rFonts w:ascii="Ubuntu" w:hAnsi="Ubuntu"/>
      <w:sz w:val="20"/>
    </w:rPr>
  </w:style>
  <w:style w:type="paragraph" w:styleId="TOC5">
    <w:name w:val="TOC 5"/>
    <w:basedOn w:val="Ndice"/>
    <w:pPr>
      <w:tabs>
        <w:tab w:val="clear" w:pos="720"/>
        <w:tab w:val="right" w:pos="8228" w:leader="dot"/>
      </w:tabs>
      <w:ind w:hanging="0" w:left="1132"/>
    </w:pPr>
    <w:rPr>
      <w:rFonts w:ascii="Ubuntu" w:hAnsi="Ubuntu"/>
      <w:sz w:val="20"/>
    </w:rPr>
  </w:style>
  <w:style w:type="paragraph" w:styleId="TOC4">
    <w:name w:val="TOC 4"/>
    <w:basedOn w:val="Ndice"/>
    <w:pPr>
      <w:tabs>
        <w:tab w:val="clear" w:pos="720"/>
        <w:tab w:val="right" w:pos="8511" w:leader="dot"/>
      </w:tabs>
      <w:ind w:hanging="0" w:left="849"/>
    </w:pPr>
    <w:rPr>
      <w:rFonts w:ascii="Ubuntu" w:hAnsi="Ubuntu"/>
      <w:sz w:val="20"/>
    </w:rPr>
  </w:style>
  <w:style w:type="paragraph" w:styleId="Ttulo10">
    <w:name w:val="Título 10"/>
    <w:basedOn w:val="Ttulo"/>
    <w:next w:val="BodyText"/>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hanging="0" w:left="0"/>
    </w:pPr>
    <w:rPr>
      <w:rFonts w:ascii="Ubuntu" w:hAnsi="Ubuntu"/>
      <w:b/>
      <w:bCs/>
      <w:caps/>
      <w:sz w:val="32"/>
      <w:szCs w:val="32"/>
    </w:rPr>
  </w:style>
  <w:style w:type="paragraph" w:styleId="Ttulodondicedetabelas">
    <w:name w:val="Título do índice de tabelas"/>
    <w:basedOn w:val="IndexHeading"/>
    <w:qFormat/>
    <w:pPr>
      <w:suppressLineNumbers/>
      <w:ind w:hanging="0" w:left="0"/>
    </w:pPr>
    <w:rPr>
      <w:rFonts w:ascii="Ubuntu" w:hAnsi="Ubuntu"/>
      <w:b/>
      <w:bCs/>
      <w:i w:val="false"/>
      <w:sz w:val="32"/>
      <w:szCs w:val="32"/>
    </w:rPr>
  </w:style>
  <w:style w:type="paragraph" w:styleId="Ttulodondicedeobjetos">
    <w:name w:val="Título do índice de objetos"/>
    <w:basedOn w:val="IndexHeading"/>
    <w:qFormat/>
    <w:pPr>
      <w:suppressLineNumbers/>
      <w:ind w:hanging="0" w:left="0"/>
    </w:pPr>
    <w:rPr>
      <w:rFonts w:ascii="Ubuntu" w:hAnsi="Ubuntu"/>
      <w:b/>
      <w:bCs/>
      <w:sz w:val="32"/>
      <w:szCs w:val="32"/>
    </w:rPr>
  </w:style>
  <w:style w:type="paragraph" w:styleId="Ttulodondicedefiguras">
    <w:name w:val="Título do índice de figuras"/>
    <w:basedOn w:val="IndexHeading"/>
    <w:qFormat/>
    <w:pPr>
      <w:suppressLineNumbers/>
      <w:ind w:hanging="0" w:left="0"/>
    </w:pPr>
    <w:rPr>
      <w:rFonts w:ascii="Ubuntu" w:hAnsi="Ubuntu"/>
      <w:b/>
      <w:bCs/>
      <w:i w:val="false"/>
      <w:sz w:val="32"/>
      <w:szCs w:val="32"/>
    </w:rPr>
  </w:style>
  <w:style w:type="paragraph" w:styleId="Citaes">
    <w:name w:val="Citações"/>
    <w:basedOn w:val="Normal"/>
    <w:qFormat/>
    <w:pPr>
      <w:spacing w:before="0" w:after="283"/>
      <w:ind w:hanging="0" w:left="567" w:right="567"/>
    </w:pPr>
    <w:rPr/>
  </w:style>
  <w:style w:type="paragraph" w:styleId="TableofAuthorities">
    <w:name w:val="Table of Authorities"/>
    <w:basedOn w:val="IndexHeading"/>
    <w:qFormat/>
    <w:pPr>
      <w:suppressLineNumbers/>
      <w:ind w:hanging="0" w:left="0"/>
    </w:pPr>
    <w:rPr>
      <w:b/>
      <w:bCs/>
      <w:sz w:val="28"/>
      <w:szCs w:val="32"/>
    </w:rPr>
  </w:style>
  <w:style w:type="paragraph" w:styleId="Tabela">
    <w:name w:val="Tabela"/>
    <w:basedOn w:val="Caption"/>
    <w:qFormat/>
    <w:pPr/>
    <w:rPr/>
  </w:style>
  <w:style w:type="paragraph" w:styleId="Closing">
    <w:name w:val="Closing"/>
    <w:basedOn w:val="Ttulo"/>
    <w:next w:val="BodyText"/>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16/j.ijsu.2014.07.013" TargetMode="External"/><Relationship Id="rId4" Type="http://schemas.openxmlformats.org/officeDocument/2006/relationships/hyperlink" Target="https://philsf-biostat.github.io/SAR-2023-017-BH/" TargetMode="External"/><Relationship Id="rId5" Type="http://schemas.openxmlformats.org/officeDocument/2006/relationships/hyperlink" Target="https://philsf-biostat.github.io/SAR-2023-004-BH/" TargetMode="External"/><Relationship Id="rId6" Type="http://schemas.openxmlformats.org/officeDocument/2006/relationships/hyperlink" Target="https://philsf-biostat.github.io/SAR-2023-016-BH/"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LibreOffice/7.6.4.1$Linux_X86_64 LibreOffice_project/60$Build-1</Application>
  <AppVersion>15.0000</AppVersion>
  <Pages>8</Pages>
  <Words>1457</Words>
  <Characters>8311</Characters>
  <CharactersWithSpaces>9512</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2023-12-19T04:11:28Z</dcterms:created>
  <dc:creator>From: Felipe Figueiredo To: Brennan Hickson</dc:creator>
  <dc:description/>
  <dc:language>pt-BR</dc:language>
  <cp:lastModifiedBy/>
  <dcterms:modified xsi:type="dcterms:W3CDTF">2024-01-30T19:14:58Z</dcterms:modified>
  <cp:revision>2</cp:revision>
  <dc:subject/>
  <dc:title>Sensitivity of mortality rates to the imputation of missing socioeconomic data: cohort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2023-12-18</vt:lpwstr>
  </property>
  <property fmtid="{D5CDD505-2E9C-101B-9397-08002B2CF9AE}" pid="3" name="output">
    <vt:lpwstr/>
  </property>
  <property fmtid="{D5CDD505-2E9C-101B-9397-08002B2CF9AE}" pid="4" name="subtitle">
    <vt:lpwstr>DOCUMENT: SAR-2023-017-BH-v01</vt:lpwstr>
  </property>
</Properties>
</file>